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11FBE" w14:textId="77777777" w:rsidR="00436943" w:rsidRPr="00DD2E1E" w:rsidRDefault="00436943" w:rsidP="00436943">
      <w:pPr>
        <w:rPr>
          <w:rFonts w:ascii="Arial" w:hAnsi="Arial" w:cs="Arial"/>
          <w:sz w:val="20"/>
          <w:szCs w:val="20"/>
        </w:rPr>
      </w:pPr>
    </w:p>
    <w:p w14:paraId="1E6B9231" w14:textId="77777777" w:rsidR="00436943" w:rsidRPr="00DD2E1E" w:rsidRDefault="00436943" w:rsidP="00436943">
      <w:pPr>
        <w:jc w:val="center"/>
        <w:rPr>
          <w:rFonts w:ascii="Arial" w:hAnsi="Arial" w:cs="Arial"/>
          <w:sz w:val="20"/>
          <w:szCs w:val="20"/>
        </w:rPr>
      </w:pPr>
      <w:r w:rsidRPr="00DD2E1E">
        <w:rPr>
          <w:rFonts w:ascii="Arial" w:hAnsi="Arial" w:cs="Arial"/>
          <w:noProof/>
          <w:sz w:val="20"/>
          <w:szCs w:val="20"/>
        </w:rPr>
        <w:drawing>
          <wp:inline distT="0" distB="0" distL="0" distR="0" wp14:anchorId="420CCA04" wp14:editId="7FAED690">
            <wp:extent cx="4206240" cy="585470"/>
            <wp:effectExtent l="0" t="0" r="3810" b="5080"/>
            <wp:docPr id="1" name="Picture 1" descr="chamber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mbers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06240" cy="585470"/>
                    </a:xfrm>
                    <a:prstGeom prst="rect">
                      <a:avLst/>
                    </a:prstGeom>
                    <a:noFill/>
                    <a:ln>
                      <a:noFill/>
                    </a:ln>
                  </pic:spPr>
                </pic:pic>
              </a:graphicData>
            </a:graphic>
          </wp:inline>
        </w:drawing>
      </w:r>
    </w:p>
    <w:p w14:paraId="1FD4374C" w14:textId="77777777" w:rsidR="00436943" w:rsidRDefault="00436943" w:rsidP="00436943">
      <w:pPr>
        <w:pStyle w:val="E-mailSignature"/>
        <w:rPr>
          <w:noProof/>
          <w:lang w:val="en-GB"/>
        </w:rPr>
      </w:pPr>
    </w:p>
    <w:p w14:paraId="2B5A1BC1" w14:textId="77777777" w:rsidR="00436943" w:rsidRPr="00A83DB8" w:rsidRDefault="00436943" w:rsidP="00436943">
      <w:pPr>
        <w:jc w:val="center"/>
        <w:rPr>
          <w:b/>
          <w:color w:val="000080"/>
        </w:rPr>
      </w:pPr>
      <w:r w:rsidRPr="00A83DB8">
        <w:rPr>
          <w:b/>
          <w:color w:val="000080"/>
        </w:rPr>
        <w:t>4 - 6 Cook Street, Liverpool L2 9QU</w:t>
      </w:r>
    </w:p>
    <w:p w14:paraId="3AE776FB" w14:textId="2798B159" w:rsidR="00436943" w:rsidRDefault="00436943" w:rsidP="00436943">
      <w:pPr>
        <w:jc w:val="center"/>
        <w:rPr>
          <w:color w:val="000080"/>
          <w:sz w:val="20"/>
        </w:rPr>
      </w:pPr>
      <w:r>
        <w:rPr>
          <w:color w:val="000080"/>
          <w:sz w:val="20"/>
        </w:rPr>
        <w:t>Tel: 0151 236 4421/8240   Fax: 0151 236 1559   DX: 14176 Liverpool</w:t>
      </w:r>
    </w:p>
    <w:p w14:paraId="5CCC5A0B" w14:textId="77777777" w:rsidR="00436943" w:rsidRDefault="00436943" w:rsidP="00436943">
      <w:pPr>
        <w:jc w:val="center"/>
        <w:rPr>
          <w:color w:val="000080"/>
          <w:sz w:val="20"/>
        </w:rPr>
      </w:pPr>
      <w:r>
        <w:rPr>
          <w:color w:val="000080"/>
          <w:sz w:val="20"/>
        </w:rPr>
        <w:t xml:space="preserve">E-mail: </w:t>
      </w:r>
      <w:hyperlink r:id="rId8" w:history="1">
        <w:r w:rsidRPr="00307372">
          <w:rPr>
            <w:rStyle w:val="Hyperlink"/>
            <w:sz w:val="20"/>
          </w:rPr>
          <w:t>info@atlanticchambers.co.uk</w:t>
        </w:r>
      </w:hyperlink>
      <w:r>
        <w:rPr>
          <w:color w:val="000080"/>
          <w:sz w:val="20"/>
        </w:rPr>
        <w:t xml:space="preserve">   Web: </w:t>
      </w:r>
      <w:hyperlink r:id="rId9" w:history="1">
        <w:r w:rsidRPr="00464E90">
          <w:rPr>
            <w:rStyle w:val="Hyperlink"/>
            <w:sz w:val="20"/>
          </w:rPr>
          <w:t>www.atlanticchambers.co.uk</w:t>
        </w:r>
      </w:hyperlink>
    </w:p>
    <w:p w14:paraId="26A73030" w14:textId="06EC78F7" w:rsidR="00436943" w:rsidRDefault="00436943" w:rsidP="00436943">
      <w:pPr>
        <w:pStyle w:val="E-mailSignature"/>
        <w:jc w:val="center"/>
        <w:rPr>
          <w:noProof/>
          <w:lang w:val="en-GB"/>
        </w:rPr>
      </w:pPr>
      <w:r>
        <w:rPr>
          <w:color w:val="000080"/>
          <w:sz w:val="20"/>
          <w:lang w:val="en-GB"/>
        </w:rPr>
        <w:t xml:space="preserve">Head of clerking team: Lee Cadwallader   </w:t>
      </w:r>
      <w:r w:rsidR="008B48B5">
        <w:rPr>
          <w:color w:val="000080"/>
          <w:sz w:val="20"/>
          <w:lang w:val="en-GB"/>
        </w:rPr>
        <w:t>Clerks: Emma Ro</w:t>
      </w:r>
      <w:r w:rsidR="003904AE">
        <w:rPr>
          <w:color w:val="000080"/>
          <w:sz w:val="20"/>
          <w:lang w:val="en-GB"/>
        </w:rPr>
        <w:t>gers, Gary Quinn</w:t>
      </w:r>
      <w:r w:rsidR="00AD550C">
        <w:rPr>
          <w:color w:val="000080"/>
          <w:sz w:val="20"/>
          <w:lang w:val="en-GB"/>
        </w:rPr>
        <w:t xml:space="preserve"> </w:t>
      </w:r>
    </w:p>
    <w:p w14:paraId="76F07342" w14:textId="77777777" w:rsidR="00436943" w:rsidRDefault="00436943" w:rsidP="00436943">
      <w:pPr>
        <w:spacing w:line="360" w:lineRule="auto"/>
        <w:rPr>
          <w:rFonts w:ascii="Arial Narrow" w:hAnsi="Arial Narrow"/>
          <w:b/>
          <w:sz w:val="32"/>
          <w:szCs w:val="32"/>
          <w:u w:val="single"/>
        </w:rPr>
      </w:pPr>
    </w:p>
    <w:p w14:paraId="0182924F" w14:textId="77777777" w:rsidR="00436943" w:rsidRDefault="00436943" w:rsidP="00AE42DD">
      <w:pPr>
        <w:spacing w:line="360" w:lineRule="auto"/>
        <w:jc w:val="center"/>
        <w:rPr>
          <w:rFonts w:ascii="Arial Narrow" w:hAnsi="Arial Narrow"/>
          <w:b/>
          <w:sz w:val="32"/>
          <w:szCs w:val="32"/>
          <w:u w:val="single"/>
        </w:rPr>
      </w:pPr>
    </w:p>
    <w:p w14:paraId="17D1762A" w14:textId="6C6E3D49" w:rsidR="00846AB4" w:rsidRPr="00E750B4" w:rsidRDefault="00994208" w:rsidP="00D04C19">
      <w:pPr>
        <w:spacing w:line="360" w:lineRule="auto"/>
        <w:jc w:val="center"/>
        <w:rPr>
          <w:rFonts w:ascii="Arial Narrow" w:hAnsi="Arial Narrow"/>
          <w:sz w:val="32"/>
          <w:szCs w:val="32"/>
        </w:rPr>
      </w:pPr>
      <w:r>
        <w:rPr>
          <w:rFonts w:ascii="Arial Narrow" w:hAnsi="Arial Narrow"/>
          <w:b/>
          <w:sz w:val="32"/>
          <w:szCs w:val="32"/>
          <w:u w:val="single"/>
        </w:rPr>
        <w:t>Contentious Probate Update</w:t>
      </w:r>
    </w:p>
    <w:p w14:paraId="280FCF19" w14:textId="77777777" w:rsidR="00F12A48" w:rsidRDefault="00F12A48" w:rsidP="008550F7">
      <w:pPr>
        <w:spacing w:line="360" w:lineRule="auto"/>
        <w:jc w:val="both"/>
        <w:rPr>
          <w:rFonts w:ascii="Arial Narrow" w:hAnsi="Arial Narrow"/>
        </w:rPr>
      </w:pPr>
    </w:p>
    <w:p w14:paraId="0FD05F06" w14:textId="77777777" w:rsidR="00240B8F" w:rsidRDefault="009F485D" w:rsidP="00894D2E">
      <w:pPr>
        <w:pStyle w:val="ListParagraph"/>
        <w:numPr>
          <w:ilvl w:val="0"/>
          <w:numId w:val="4"/>
        </w:numPr>
        <w:tabs>
          <w:tab w:val="left" w:pos="567"/>
        </w:tabs>
        <w:spacing w:line="360" w:lineRule="auto"/>
        <w:ind w:left="567" w:hanging="567"/>
        <w:jc w:val="both"/>
        <w:rPr>
          <w:rFonts w:ascii="Arial Narrow" w:hAnsi="Arial Narrow"/>
          <w:sz w:val="28"/>
          <w:szCs w:val="28"/>
        </w:rPr>
      </w:pPr>
      <w:r>
        <w:rPr>
          <w:rFonts w:ascii="Arial Narrow" w:hAnsi="Arial Narrow"/>
          <w:sz w:val="28"/>
          <w:szCs w:val="28"/>
        </w:rPr>
        <w:t xml:space="preserve">This part of the afternoon’s </w:t>
      </w:r>
      <w:r w:rsidR="00C75566">
        <w:rPr>
          <w:rFonts w:ascii="Arial Narrow" w:hAnsi="Arial Narrow"/>
          <w:sz w:val="28"/>
          <w:szCs w:val="28"/>
        </w:rPr>
        <w:t>seminar is intended as a brief review of some recent contentious probate cases</w:t>
      </w:r>
      <w:r w:rsidR="00536307">
        <w:rPr>
          <w:rFonts w:ascii="Arial Narrow" w:hAnsi="Arial Narrow"/>
          <w:sz w:val="28"/>
          <w:szCs w:val="28"/>
        </w:rPr>
        <w:t xml:space="preserve">.  It is not a comprehensive survey of all </w:t>
      </w:r>
      <w:r w:rsidR="007F0FF6">
        <w:rPr>
          <w:rFonts w:ascii="Arial Narrow" w:hAnsi="Arial Narrow"/>
          <w:sz w:val="28"/>
          <w:szCs w:val="28"/>
        </w:rPr>
        <w:t xml:space="preserve">recently reported cases in the area, nor </w:t>
      </w:r>
      <w:r w:rsidR="004278F4">
        <w:rPr>
          <w:rFonts w:ascii="Arial Narrow" w:hAnsi="Arial Narrow"/>
          <w:sz w:val="28"/>
          <w:szCs w:val="28"/>
        </w:rPr>
        <w:t>necessarily of the significant ones.</w:t>
      </w:r>
      <w:r w:rsidR="006C04C5">
        <w:rPr>
          <w:rFonts w:ascii="Arial Narrow" w:hAnsi="Arial Narrow"/>
          <w:sz w:val="28"/>
          <w:szCs w:val="28"/>
        </w:rPr>
        <w:t xml:space="preserve">  It is merely a review of those that seemed of interest to me.</w:t>
      </w:r>
    </w:p>
    <w:p w14:paraId="4F08CCA0" w14:textId="1F9EF297" w:rsidR="00240B8F" w:rsidRDefault="00240B8F" w:rsidP="00240B8F">
      <w:pPr>
        <w:tabs>
          <w:tab w:val="left" w:pos="567"/>
        </w:tabs>
        <w:spacing w:line="360" w:lineRule="auto"/>
        <w:jc w:val="both"/>
        <w:rPr>
          <w:rFonts w:ascii="Arial Narrow" w:hAnsi="Arial Narrow"/>
          <w:sz w:val="28"/>
          <w:szCs w:val="28"/>
        </w:rPr>
      </w:pPr>
    </w:p>
    <w:p w14:paraId="0E3E1327" w14:textId="34C9DC3D" w:rsidR="00240B8F" w:rsidRPr="00465F60" w:rsidRDefault="00240B8F" w:rsidP="00240B8F">
      <w:pPr>
        <w:tabs>
          <w:tab w:val="left" w:pos="567"/>
        </w:tabs>
        <w:spacing w:line="360" w:lineRule="auto"/>
        <w:jc w:val="both"/>
        <w:rPr>
          <w:rFonts w:ascii="Arial Narrow" w:hAnsi="Arial Narrow"/>
          <w:b/>
          <w:bCs/>
          <w:sz w:val="28"/>
          <w:szCs w:val="28"/>
        </w:rPr>
      </w:pPr>
      <w:r>
        <w:rPr>
          <w:rFonts w:ascii="Arial Narrow" w:hAnsi="Arial Narrow"/>
          <w:b/>
          <w:bCs/>
          <w:sz w:val="28"/>
          <w:szCs w:val="28"/>
          <w:u w:val="single"/>
        </w:rPr>
        <w:t xml:space="preserve">Baker v </w:t>
      </w:r>
      <w:proofErr w:type="spellStart"/>
      <w:r>
        <w:rPr>
          <w:rFonts w:ascii="Arial Narrow" w:hAnsi="Arial Narrow"/>
          <w:b/>
          <w:bCs/>
          <w:sz w:val="28"/>
          <w:szCs w:val="28"/>
          <w:u w:val="single"/>
        </w:rPr>
        <w:t>Hewston</w:t>
      </w:r>
      <w:proofErr w:type="spellEnd"/>
      <w:r w:rsidR="00465F60">
        <w:rPr>
          <w:rFonts w:ascii="Arial Narrow" w:hAnsi="Arial Narrow"/>
          <w:b/>
          <w:bCs/>
          <w:sz w:val="28"/>
          <w:szCs w:val="28"/>
        </w:rPr>
        <w:t xml:space="preserve"> [2023] </w:t>
      </w:r>
      <w:r w:rsidR="00430867">
        <w:rPr>
          <w:rFonts w:ascii="Arial Narrow" w:hAnsi="Arial Narrow"/>
          <w:b/>
          <w:bCs/>
          <w:sz w:val="28"/>
          <w:szCs w:val="28"/>
        </w:rPr>
        <w:t>EWHC 1145 (Ch)</w:t>
      </w:r>
    </w:p>
    <w:p w14:paraId="305D9F66" w14:textId="79290919" w:rsidR="00801F8F" w:rsidRDefault="0061021A" w:rsidP="00894D2E">
      <w:pPr>
        <w:pStyle w:val="ListParagraph"/>
        <w:numPr>
          <w:ilvl w:val="0"/>
          <w:numId w:val="4"/>
        </w:numPr>
        <w:tabs>
          <w:tab w:val="left" w:pos="567"/>
        </w:tabs>
        <w:spacing w:line="360" w:lineRule="auto"/>
        <w:ind w:left="567" w:hanging="567"/>
        <w:jc w:val="both"/>
        <w:rPr>
          <w:rFonts w:ascii="Arial Narrow" w:hAnsi="Arial Narrow"/>
          <w:sz w:val="28"/>
          <w:szCs w:val="28"/>
        </w:rPr>
      </w:pPr>
      <w:r>
        <w:rPr>
          <w:rFonts w:ascii="Arial Narrow" w:hAnsi="Arial Narrow"/>
          <w:sz w:val="28"/>
          <w:szCs w:val="28"/>
        </w:rPr>
        <w:t xml:space="preserve">I </w:t>
      </w:r>
      <w:r w:rsidR="00430867">
        <w:rPr>
          <w:rFonts w:ascii="Arial Narrow" w:hAnsi="Arial Narrow"/>
          <w:sz w:val="28"/>
          <w:szCs w:val="28"/>
        </w:rPr>
        <w:t xml:space="preserve">begin with </w:t>
      </w:r>
      <w:r w:rsidR="00430867">
        <w:rPr>
          <w:rFonts w:ascii="Arial Narrow" w:hAnsi="Arial Narrow"/>
          <w:b/>
          <w:bCs/>
          <w:sz w:val="28"/>
          <w:szCs w:val="28"/>
          <w:u w:val="single"/>
        </w:rPr>
        <w:t xml:space="preserve">Baker v </w:t>
      </w:r>
      <w:proofErr w:type="spellStart"/>
      <w:r w:rsidR="00430867">
        <w:rPr>
          <w:rFonts w:ascii="Arial Narrow" w:hAnsi="Arial Narrow"/>
          <w:b/>
          <w:bCs/>
          <w:sz w:val="28"/>
          <w:szCs w:val="28"/>
          <w:u w:val="single"/>
        </w:rPr>
        <w:t>Hewston</w:t>
      </w:r>
      <w:proofErr w:type="spellEnd"/>
      <w:r w:rsidR="00F03398">
        <w:rPr>
          <w:rFonts w:ascii="Arial Narrow" w:hAnsi="Arial Narrow"/>
          <w:sz w:val="28"/>
          <w:szCs w:val="28"/>
        </w:rPr>
        <w:t xml:space="preserve">.  </w:t>
      </w:r>
      <w:r w:rsidR="00EB1904">
        <w:rPr>
          <w:rFonts w:ascii="Arial Narrow" w:hAnsi="Arial Narrow"/>
          <w:sz w:val="28"/>
          <w:szCs w:val="28"/>
        </w:rPr>
        <w:t xml:space="preserve">It </w:t>
      </w:r>
      <w:r w:rsidR="00BC0277">
        <w:rPr>
          <w:rFonts w:ascii="Arial Narrow" w:hAnsi="Arial Narrow"/>
          <w:sz w:val="28"/>
          <w:szCs w:val="28"/>
        </w:rPr>
        <w:t xml:space="preserve">is not the most recent of cases, with judgment having been handed down </w:t>
      </w:r>
      <w:r w:rsidR="00AD267C">
        <w:rPr>
          <w:rFonts w:ascii="Arial Narrow" w:hAnsi="Arial Narrow"/>
          <w:sz w:val="28"/>
          <w:szCs w:val="28"/>
        </w:rPr>
        <w:t xml:space="preserve">almost a year and a half ago </w:t>
      </w:r>
      <w:r w:rsidR="00167AE7">
        <w:rPr>
          <w:rFonts w:ascii="Arial Narrow" w:hAnsi="Arial Narrow"/>
          <w:sz w:val="28"/>
          <w:szCs w:val="28"/>
        </w:rPr>
        <w:t>on 5</w:t>
      </w:r>
      <w:r w:rsidR="00167AE7" w:rsidRPr="00167AE7">
        <w:rPr>
          <w:rFonts w:ascii="Arial Narrow" w:hAnsi="Arial Narrow"/>
          <w:sz w:val="28"/>
          <w:szCs w:val="28"/>
          <w:vertAlign w:val="superscript"/>
        </w:rPr>
        <w:t>th</w:t>
      </w:r>
      <w:r w:rsidR="00167AE7">
        <w:rPr>
          <w:rFonts w:ascii="Arial Narrow" w:hAnsi="Arial Narrow"/>
          <w:sz w:val="28"/>
          <w:szCs w:val="28"/>
        </w:rPr>
        <w:t xml:space="preserve"> May 2023, but it has </w:t>
      </w:r>
      <w:r w:rsidR="00C1793C">
        <w:rPr>
          <w:rFonts w:ascii="Arial Narrow" w:hAnsi="Arial Narrow"/>
          <w:sz w:val="28"/>
          <w:szCs w:val="28"/>
        </w:rPr>
        <w:t xml:space="preserve">given rise to some fairly widespread </w:t>
      </w:r>
      <w:r w:rsidR="00F42A41">
        <w:rPr>
          <w:rFonts w:ascii="Arial Narrow" w:hAnsi="Arial Narrow"/>
          <w:sz w:val="28"/>
          <w:szCs w:val="28"/>
        </w:rPr>
        <w:t xml:space="preserve">academic and practitioner </w:t>
      </w:r>
      <w:proofErr w:type="gramStart"/>
      <w:r w:rsidR="00F42A41">
        <w:rPr>
          <w:rFonts w:ascii="Arial Narrow" w:hAnsi="Arial Narrow"/>
          <w:sz w:val="28"/>
          <w:szCs w:val="28"/>
        </w:rPr>
        <w:t>discussion</w:t>
      </w:r>
      <w:proofErr w:type="gramEnd"/>
      <w:r w:rsidR="00BB55E7">
        <w:rPr>
          <w:rFonts w:ascii="Arial Narrow" w:hAnsi="Arial Narrow"/>
          <w:sz w:val="28"/>
          <w:szCs w:val="28"/>
        </w:rPr>
        <w:t xml:space="preserve"> and it deals with </w:t>
      </w:r>
      <w:r w:rsidR="00835E15">
        <w:rPr>
          <w:rFonts w:ascii="Arial Narrow" w:hAnsi="Arial Narrow"/>
          <w:sz w:val="28"/>
          <w:szCs w:val="28"/>
        </w:rPr>
        <w:t xml:space="preserve">a central concept to many contentious probate cases, namely the </w:t>
      </w:r>
      <w:r w:rsidR="00801F8F">
        <w:rPr>
          <w:rFonts w:ascii="Arial Narrow" w:hAnsi="Arial Narrow"/>
          <w:sz w:val="28"/>
          <w:szCs w:val="28"/>
        </w:rPr>
        <w:t>test for testamentary capacity.</w:t>
      </w:r>
    </w:p>
    <w:p w14:paraId="26F74762" w14:textId="777A424E" w:rsidR="00801F8F" w:rsidRDefault="00801F8F" w:rsidP="00801F8F">
      <w:pPr>
        <w:pStyle w:val="ListParagraph"/>
        <w:tabs>
          <w:tab w:val="left" w:pos="567"/>
        </w:tabs>
        <w:spacing w:line="360" w:lineRule="auto"/>
        <w:ind w:left="567"/>
        <w:jc w:val="both"/>
        <w:rPr>
          <w:rFonts w:ascii="Arial Narrow" w:hAnsi="Arial Narrow"/>
          <w:sz w:val="28"/>
          <w:szCs w:val="28"/>
        </w:rPr>
      </w:pPr>
    </w:p>
    <w:p w14:paraId="64DF1656" w14:textId="144BEA69" w:rsidR="00011046" w:rsidRPr="000E26B5" w:rsidRDefault="00030FEB" w:rsidP="000E26B5">
      <w:pPr>
        <w:pStyle w:val="ListParagraph"/>
        <w:numPr>
          <w:ilvl w:val="0"/>
          <w:numId w:val="4"/>
        </w:numPr>
        <w:tabs>
          <w:tab w:val="left" w:pos="567"/>
        </w:tabs>
        <w:spacing w:line="360" w:lineRule="auto"/>
        <w:ind w:left="567" w:hanging="567"/>
        <w:jc w:val="both"/>
        <w:rPr>
          <w:rFonts w:ascii="Arial Narrow" w:hAnsi="Arial Narrow"/>
          <w:sz w:val="28"/>
          <w:szCs w:val="28"/>
        </w:rPr>
      </w:pPr>
      <w:r>
        <w:rPr>
          <w:rFonts w:ascii="Arial Narrow" w:hAnsi="Arial Narrow"/>
          <w:sz w:val="28"/>
          <w:szCs w:val="28"/>
        </w:rPr>
        <w:t xml:space="preserve">The </w:t>
      </w:r>
      <w:r w:rsidR="00B27B4C">
        <w:rPr>
          <w:rFonts w:ascii="Arial Narrow" w:hAnsi="Arial Narrow"/>
          <w:sz w:val="28"/>
          <w:szCs w:val="28"/>
        </w:rPr>
        <w:t>case is</w:t>
      </w:r>
      <w:r>
        <w:rPr>
          <w:rFonts w:ascii="Arial Narrow" w:hAnsi="Arial Narrow"/>
          <w:sz w:val="28"/>
          <w:szCs w:val="28"/>
        </w:rPr>
        <w:t xml:space="preserve"> a High Court </w:t>
      </w:r>
      <w:r w:rsidR="00B27B4C">
        <w:rPr>
          <w:rFonts w:ascii="Arial Narrow" w:hAnsi="Arial Narrow"/>
          <w:sz w:val="28"/>
          <w:szCs w:val="28"/>
        </w:rPr>
        <w:t>decision made by HHJ Tindal</w:t>
      </w:r>
      <w:r w:rsidR="00B6210D">
        <w:rPr>
          <w:rFonts w:ascii="Arial Narrow" w:hAnsi="Arial Narrow"/>
          <w:sz w:val="28"/>
          <w:szCs w:val="28"/>
        </w:rPr>
        <w:t xml:space="preserve"> sitting as a High Court Judge in the Business &amp; Property Courts in Birmingham.</w:t>
      </w:r>
      <w:r w:rsidR="00DA25A9">
        <w:rPr>
          <w:rFonts w:ascii="Arial Narrow" w:hAnsi="Arial Narrow"/>
          <w:sz w:val="28"/>
          <w:szCs w:val="28"/>
        </w:rPr>
        <w:t xml:space="preserve">  The facts </w:t>
      </w:r>
      <w:r w:rsidR="00BB039D">
        <w:rPr>
          <w:rFonts w:ascii="Arial Narrow" w:hAnsi="Arial Narrow"/>
          <w:sz w:val="28"/>
          <w:szCs w:val="28"/>
        </w:rPr>
        <w:t xml:space="preserve">of the case need not concern us to any great extent for present purposes.  </w:t>
      </w:r>
      <w:r w:rsidR="009F7EBA">
        <w:rPr>
          <w:rFonts w:ascii="Arial Narrow" w:hAnsi="Arial Narrow"/>
          <w:sz w:val="28"/>
          <w:szCs w:val="28"/>
        </w:rPr>
        <w:t xml:space="preserve">The Deceased, Stanley, </w:t>
      </w:r>
      <w:r w:rsidR="00C62B96">
        <w:rPr>
          <w:rFonts w:ascii="Arial Narrow" w:hAnsi="Arial Narrow"/>
          <w:sz w:val="28"/>
          <w:szCs w:val="28"/>
        </w:rPr>
        <w:t xml:space="preserve">had a </w:t>
      </w:r>
      <w:proofErr w:type="gramStart"/>
      <w:r w:rsidR="00C62B96">
        <w:rPr>
          <w:rFonts w:ascii="Arial Narrow" w:hAnsi="Arial Narrow"/>
          <w:sz w:val="28"/>
          <w:szCs w:val="28"/>
        </w:rPr>
        <w:t>fairly complicated</w:t>
      </w:r>
      <w:proofErr w:type="gramEnd"/>
      <w:r w:rsidR="00C62B96">
        <w:rPr>
          <w:rFonts w:ascii="Arial Narrow" w:hAnsi="Arial Narrow"/>
          <w:sz w:val="28"/>
          <w:szCs w:val="28"/>
        </w:rPr>
        <w:t xml:space="preserve"> family</w:t>
      </w:r>
      <w:r w:rsidR="00991234">
        <w:rPr>
          <w:rFonts w:ascii="Arial Narrow" w:hAnsi="Arial Narrow"/>
          <w:sz w:val="28"/>
          <w:szCs w:val="28"/>
        </w:rPr>
        <w:t xml:space="preserve"> that consisted of two partners that had died before him, three children and eight grandchildren.</w:t>
      </w:r>
      <w:r w:rsidR="00B9066F">
        <w:rPr>
          <w:rFonts w:ascii="Arial Narrow" w:hAnsi="Arial Narrow"/>
          <w:sz w:val="28"/>
          <w:szCs w:val="28"/>
        </w:rPr>
        <w:t xml:space="preserve">  His last will was made </w:t>
      </w:r>
      <w:r w:rsidR="00B9066F">
        <w:rPr>
          <w:rFonts w:ascii="Arial Narrow" w:hAnsi="Arial Narrow"/>
          <w:sz w:val="28"/>
          <w:szCs w:val="28"/>
        </w:rPr>
        <w:lastRenderedPageBreak/>
        <w:t>in 2020 when he was 90 years old.</w:t>
      </w:r>
      <w:r w:rsidR="00905F84">
        <w:rPr>
          <w:rFonts w:ascii="Arial Narrow" w:hAnsi="Arial Narrow"/>
          <w:sz w:val="28"/>
          <w:szCs w:val="28"/>
        </w:rPr>
        <w:t xml:space="preserve">  He had made six wills during the period from 2010 to 2020, wit</w:t>
      </w:r>
      <w:r w:rsidR="00876D81">
        <w:rPr>
          <w:rFonts w:ascii="Arial Narrow" w:hAnsi="Arial Narrow"/>
          <w:sz w:val="28"/>
          <w:szCs w:val="28"/>
        </w:rPr>
        <w:t>h family members shifting into and out of inheritance with changes in those wills.</w:t>
      </w:r>
      <w:r w:rsidR="00D909B9">
        <w:rPr>
          <w:rFonts w:ascii="Arial Narrow" w:hAnsi="Arial Narrow"/>
          <w:sz w:val="28"/>
          <w:szCs w:val="28"/>
        </w:rPr>
        <w:t xml:space="preserve">  </w:t>
      </w:r>
      <w:r w:rsidR="009D0E10">
        <w:rPr>
          <w:rFonts w:ascii="Arial Narrow" w:hAnsi="Arial Narrow"/>
          <w:sz w:val="28"/>
          <w:szCs w:val="28"/>
        </w:rPr>
        <w:t>There was no medical evidence of incapacity</w:t>
      </w:r>
      <w:r w:rsidR="009214B6">
        <w:rPr>
          <w:rFonts w:ascii="Arial Narrow" w:hAnsi="Arial Narrow"/>
          <w:sz w:val="28"/>
          <w:szCs w:val="28"/>
        </w:rPr>
        <w:t xml:space="preserve"> at the time of the 2020 will</w:t>
      </w:r>
      <w:r w:rsidR="009D0E10">
        <w:rPr>
          <w:rFonts w:ascii="Arial Narrow" w:hAnsi="Arial Narrow"/>
          <w:sz w:val="28"/>
          <w:szCs w:val="28"/>
        </w:rPr>
        <w:t>, though Stanley had had a diagnosis of dementia</w:t>
      </w:r>
      <w:r w:rsidR="00D2705E">
        <w:rPr>
          <w:rFonts w:ascii="Arial Narrow" w:hAnsi="Arial Narrow"/>
          <w:sz w:val="28"/>
          <w:szCs w:val="28"/>
        </w:rPr>
        <w:t xml:space="preserve"> some years before </w:t>
      </w:r>
      <w:r w:rsidR="00F04FFB">
        <w:rPr>
          <w:rFonts w:ascii="Arial Narrow" w:hAnsi="Arial Narrow"/>
          <w:sz w:val="28"/>
          <w:szCs w:val="28"/>
        </w:rPr>
        <w:t>2020,</w:t>
      </w:r>
      <w:r w:rsidR="00D2705E">
        <w:rPr>
          <w:rFonts w:ascii="Arial Narrow" w:hAnsi="Arial Narrow"/>
          <w:sz w:val="28"/>
          <w:szCs w:val="28"/>
        </w:rPr>
        <w:t xml:space="preserve"> and it appears that he had </w:t>
      </w:r>
      <w:r w:rsidR="00934136">
        <w:rPr>
          <w:rFonts w:ascii="Arial Narrow" w:hAnsi="Arial Narrow"/>
          <w:sz w:val="28"/>
          <w:szCs w:val="28"/>
        </w:rPr>
        <w:t>had an episode o</w:t>
      </w:r>
      <w:r w:rsidR="00D93772">
        <w:rPr>
          <w:rFonts w:ascii="Arial Narrow" w:hAnsi="Arial Narrow"/>
          <w:sz w:val="28"/>
          <w:szCs w:val="28"/>
        </w:rPr>
        <w:t>f</w:t>
      </w:r>
      <w:r w:rsidR="00934136" w:rsidRPr="000E26B5">
        <w:rPr>
          <w:rFonts w:ascii="Arial Narrow" w:hAnsi="Arial Narrow"/>
          <w:sz w:val="28"/>
          <w:szCs w:val="28"/>
        </w:rPr>
        <w:t xml:space="preserve"> mental incapacity in 2009.</w:t>
      </w:r>
      <w:r w:rsidR="00CE3C84" w:rsidRPr="000E26B5">
        <w:rPr>
          <w:rFonts w:ascii="Arial Narrow" w:hAnsi="Arial Narrow"/>
          <w:sz w:val="28"/>
          <w:szCs w:val="28"/>
        </w:rPr>
        <w:t xml:space="preserve">  His solicitor gave evidence that he was satisfied that Stanley knew and approved of the contents of the 2020 will and </w:t>
      </w:r>
      <w:r w:rsidR="004F769C" w:rsidRPr="000E26B5">
        <w:rPr>
          <w:rFonts w:ascii="Arial Narrow" w:hAnsi="Arial Narrow"/>
          <w:sz w:val="28"/>
          <w:szCs w:val="28"/>
        </w:rPr>
        <w:t xml:space="preserve">there was nothing to suggest a lack of testamentary capacity when </w:t>
      </w:r>
      <w:r w:rsidR="00547302" w:rsidRPr="000E26B5">
        <w:rPr>
          <w:rFonts w:ascii="Arial Narrow" w:hAnsi="Arial Narrow"/>
          <w:sz w:val="28"/>
          <w:szCs w:val="28"/>
        </w:rPr>
        <w:t xml:space="preserve">he made the 2020 will.  The executors brought the claim to prove the 2020 will in solemn form </w:t>
      </w:r>
      <w:r w:rsidR="002A5711" w:rsidRPr="000E26B5">
        <w:rPr>
          <w:rFonts w:ascii="Arial Narrow" w:hAnsi="Arial Narrow"/>
          <w:sz w:val="28"/>
          <w:szCs w:val="28"/>
        </w:rPr>
        <w:t>and at the trial the judge</w:t>
      </w:r>
      <w:r w:rsidR="00BF17B7" w:rsidRPr="000E26B5">
        <w:rPr>
          <w:rFonts w:ascii="Arial Narrow" w:hAnsi="Arial Narrow"/>
          <w:sz w:val="28"/>
          <w:szCs w:val="28"/>
        </w:rPr>
        <w:t xml:space="preserve"> reviewed the previous wills</w:t>
      </w:r>
      <w:r w:rsidR="00611672" w:rsidRPr="000E26B5">
        <w:rPr>
          <w:rFonts w:ascii="Arial Narrow" w:hAnsi="Arial Narrow"/>
          <w:sz w:val="28"/>
          <w:szCs w:val="28"/>
        </w:rPr>
        <w:t xml:space="preserve">, finding that they had all been validly made except an earlier 2009 will </w:t>
      </w:r>
      <w:r w:rsidR="000531C3" w:rsidRPr="000E26B5">
        <w:rPr>
          <w:rFonts w:ascii="Arial Narrow" w:hAnsi="Arial Narrow"/>
          <w:sz w:val="28"/>
          <w:szCs w:val="28"/>
        </w:rPr>
        <w:t>(in respect of which it had not been proved that Stanley had capacity to make it).</w:t>
      </w:r>
      <w:r w:rsidR="005F6325" w:rsidRPr="000E26B5">
        <w:rPr>
          <w:rFonts w:ascii="Arial Narrow" w:hAnsi="Arial Narrow"/>
          <w:sz w:val="28"/>
          <w:szCs w:val="28"/>
        </w:rPr>
        <w:t xml:space="preserve">  The judge held that the changes that Stanley had made in his testamentary dispositions between 2010 and 2020 </w:t>
      </w:r>
      <w:r w:rsidR="00A47252" w:rsidRPr="000E26B5">
        <w:rPr>
          <w:rFonts w:ascii="Arial Narrow" w:hAnsi="Arial Narrow"/>
          <w:sz w:val="28"/>
          <w:szCs w:val="28"/>
        </w:rPr>
        <w:t>had more to do with capricious</w:t>
      </w:r>
      <w:r w:rsidR="008B203C" w:rsidRPr="000E26B5">
        <w:rPr>
          <w:rFonts w:ascii="Arial Narrow" w:hAnsi="Arial Narrow"/>
          <w:sz w:val="28"/>
          <w:szCs w:val="28"/>
        </w:rPr>
        <w:t>ness than capacity</w:t>
      </w:r>
      <w:r w:rsidR="003E7E78" w:rsidRPr="000E26B5">
        <w:rPr>
          <w:rFonts w:ascii="Arial Narrow" w:hAnsi="Arial Narrow"/>
          <w:sz w:val="28"/>
          <w:szCs w:val="28"/>
        </w:rPr>
        <w:t xml:space="preserve"> and that the 2020 will was valid and should be admitted to probate, as it superseded </w:t>
      </w:r>
      <w:r w:rsidR="00011046" w:rsidRPr="000E26B5">
        <w:rPr>
          <w:rFonts w:ascii="Arial Narrow" w:hAnsi="Arial Narrow"/>
          <w:sz w:val="28"/>
          <w:szCs w:val="28"/>
        </w:rPr>
        <w:t>the earlier wills.</w:t>
      </w:r>
    </w:p>
    <w:p w14:paraId="42E57E0D" w14:textId="79219674" w:rsidR="00011046" w:rsidRDefault="00011046" w:rsidP="00011046">
      <w:pPr>
        <w:pStyle w:val="ListParagraph"/>
        <w:tabs>
          <w:tab w:val="left" w:pos="567"/>
        </w:tabs>
        <w:spacing w:line="360" w:lineRule="auto"/>
        <w:ind w:left="567"/>
        <w:jc w:val="both"/>
        <w:rPr>
          <w:rFonts w:ascii="Arial Narrow" w:hAnsi="Arial Narrow"/>
          <w:sz w:val="28"/>
          <w:szCs w:val="28"/>
        </w:rPr>
      </w:pPr>
    </w:p>
    <w:p w14:paraId="78AB73D6" w14:textId="77777777" w:rsidR="008A4CE2" w:rsidRDefault="00011046" w:rsidP="00894D2E">
      <w:pPr>
        <w:pStyle w:val="ListParagraph"/>
        <w:numPr>
          <w:ilvl w:val="0"/>
          <w:numId w:val="4"/>
        </w:numPr>
        <w:tabs>
          <w:tab w:val="left" w:pos="567"/>
        </w:tabs>
        <w:spacing w:line="360" w:lineRule="auto"/>
        <w:ind w:left="567" w:hanging="567"/>
        <w:jc w:val="both"/>
        <w:rPr>
          <w:rFonts w:ascii="Arial Narrow" w:hAnsi="Arial Narrow"/>
          <w:sz w:val="28"/>
          <w:szCs w:val="28"/>
        </w:rPr>
      </w:pPr>
      <w:r>
        <w:rPr>
          <w:rFonts w:ascii="Arial Narrow" w:hAnsi="Arial Narrow"/>
          <w:sz w:val="28"/>
          <w:szCs w:val="28"/>
        </w:rPr>
        <w:t>So far, so unremarkable.</w:t>
      </w:r>
      <w:r w:rsidR="00B0331D">
        <w:rPr>
          <w:rFonts w:ascii="Arial Narrow" w:hAnsi="Arial Narrow"/>
          <w:sz w:val="28"/>
          <w:szCs w:val="28"/>
        </w:rPr>
        <w:t xml:space="preserve">  The interest though, in the case, is that the judge attempted </w:t>
      </w:r>
      <w:r w:rsidR="008F6D75">
        <w:rPr>
          <w:rFonts w:ascii="Arial Narrow" w:hAnsi="Arial Narrow"/>
          <w:sz w:val="28"/>
          <w:szCs w:val="28"/>
        </w:rPr>
        <w:t xml:space="preserve">to reconcile the common law test for testamentary capacity in </w:t>
      </w:r>
      <w:r w:rsidR="008F6D75">
        <w:rPr>
          <w:rFonts w:ascii="Arial Narrow" w:hAnsi="Arial Narrow"/>
          <w:b/>
          <w:bCs/>
          <w:sz w:val="28"/>
          <w:szCs w:val="28"/>
          <w:u w:val="single"/>
        </w:rPr>
        <w:t>Banks v Goodfellow</w:t>
      </w:r>
      <w:r w:rsidR="007D108B">
        <w:rPr>
          <w:rFonts w:ascii="Arial Narrow" w:hAnsi="Arial Narrow"/>
          <w:b/>
          <w:bCs/>
          <w:sz w:val="28"/>
          <w:szCs w:val="28"/>
        </w:rPr>
        <w:t xml:space="preserve"> (</w:t>
      </w:r>
      <w:r w:rsidR="00590A87">
        <w:rPr>
          <w:rFonts w:ascii="Arial Narrow" w:hAnsi="Arial Narrow"/>
          <w:b/>
          <w:bCs/>
          <w:sz w:val="28"/>
          <w:szCs w:val="28"/>
        </w:rPr>
        <w:t>1870) LR 5 QB 549</w:t>
      </w:r>
      <w:r w:rsidR="00056469">
        <w:rPr>
          <w:rFonts w:ascii="Arial Narrow" w:hAnsi="Arial Narrow"/>
          <w:b/>
          <w:bCs/>
          <w:sz w:val="28"/>
          <w:szCs w:val="28"/>
        </w:rPr>
        <w:t xml:space="preserve"> </w:t>
      </w:r>
      <w:r w:rsidR="00056469">
        <w:rPr>
          <w:rFonts w:ascii="Arial Narrow" w:hAnsi="Arial Narrow"/>
          <w:sz w:val="28"/>
          <w:szCs w:val="28"/>
        </w:rPr>
        <w:t xml:space="preserve">with the statutory test for </w:t>
      </w:r>
      <w:r w:rsidR="00B552D7">
        <w:rPr>
          <w:rFonts w:ascii="Arial Narrow" w:hAnsi="Arial Narrow"/>
          <w:sz w:val="28"/>
          <w:szCs w:val="28"/>
        </w:rPr>
        <w:t xml:space="preserve">capacity in </w:t>
      </w:r>
      <w:r w:rsidR="00B552D7">
        <w:rPr>
          <w:rFonts w:ascii="Arial Narrow" w:hAnsi="Arial Narrow"/>
          <w:b/>
          <w:bCs/>
          <w:sz w:val="28"/>
          <w:szCs w:val="28"/>
        </w:rPr>
        <w:t>ss.2</w:t>
      </w:r>
      <w:r w:rsidR="00D20E7C">
        <w:rPr>
          <w:rFonts w:ascii="Arial Narrow" w:hAnsi="Arial Narrow"/>
          <w:b/>
          <w:bCs/>
          <w:sz w:val="28"/>
          <w:szCs w:val="28"/>
        </w:rPr>
        <w:t>-3 Mental Capacity Act 2005</w:t>
      </w:r>
      <w:r w:rsidR="00D20E7C">
        <w:rPr>
          <w:rFonts w:ascii="Arial Narrow" w:hAnsi="Arial Narrow"/>
          <w:sz w:val="28"/>
          <w:szCs w:val="28"/>
        </w:rPr>
        <w:t>.</w:t>
      </w:r>
      <w:r w:rsidR="000F4CA2">
        <w:rPr>
          <w:rFonts w:ascii="Arial Narrow" w:hAnsi="Arial Narrow"/>
          <w:sz w:val="28"/>
          <w:szCs w:val="28"/>
        </w:rPr>
        <w:t xml:space="preserve">  As has been suggested by some </w:t>
      </w:r>
      <w:r w:rsidR="00FC52AB">
        <w:rPr>
          <w:rFonts w:ascii="Arial Narrow" w:hAnsi="Arial Narrow"/>
          <w:sz w:val="28"/>
          <w:szCs w:val="28"/>
        </w:rPr>
        <w:t xml:space="preserve">commentators, Judge Tindal </w:t>
      </w:r>
      <w:r w:rsidR="001934D3">
        <w:rPr>
          <w:rFonts w:ascii="Arial Narrow" w:hAnsi="Arial Narrow"/>
          <w:sz w:val="28"/>
          <w:szCs w:val="28"/>
        </w:rPr>
        <w:t xml:space="preserve">has ambitiously attempted to synthesise </w:t>
      </w:r>
      <w:r w:rsidR="00D12E9D">
        <w:rPr>
          <w:rFonts w:ascii="Arial Narrow" w:hAnsi="Arial Narrow"/>
          <w:sz w:val="28"/>
          <w:szCs w:val="28"/>
        </w:rPr>
        <w:t>the contrasting positions</w:t>
      </w:r>
      <w:r w:rsidR="00E84A43">
        <w:rPr>
          <w:rFonts w:ascii="Arial Narrow" w:hAnsi="Arial Narrow"/>
          <w:sz w:val="28"/>
          <w:szCs w:val="28"/>
        </w:rPr>
        <w:t xml:space="preserve"> ta</w:t>
      </w:r>
      <w:r w:rsidR="008A4CE2">
        <w:rPr>
          <w:rFonts w:ascii="Arial Narrow" w:hAnsi="Arial Narrow"/>
          <w:sz w:val="28"/>
          <w:szCs w:val="28"/>
        </w:rPr>
        <w:t>k</w:t>
      </w:r>
      <w:r w:rsidR="00E84A43">
        <w:rPr>
          <w:rFonts w:ascii="Arial Narrow" w:hAnsi="Arial Narrow"/>
          <w:sz w:val="28"/>
          <w:szCs w:val="28"/>
        </w:rPr>
        <w:t xml:space="preserve">en between Chancery and Court of Protection practitioners </w:t>
      </w:r>
      <w:r w:rsidR="00321CD1">
        <w:rPr>
          <w:rFonts w:ascii="Arial Narrow" w:hAnsi="Arial Narrow"/>
          <w:sz w:val="28"/>
          <w:szCs w:val="28"/>
        </w:rPr>
        <w:t>and was well-placed to do so as a judge sitting in both jurisdi</w:t>
      </w:r>
      <w:r w:rsidR="008A4CE2">
        <w:rPr>
          <w:rFonts w:ascii="Arial Narrow" w:hAnsi="Arial Narrow"/>
          <w:sz w:val="28"/>
          <w:szCs w:val="28"/>
        </w:rPr>
        <w:t>ctions.</w:t>
      </w:r>
    </w:p>
    <w:p w14:paraId="6487E010" w14:textId="77777777" w:rsidR="008A4CE2" w:rsidRPr="008A4CE2" w:rsidRDefault="008A4CE2" w:rsidP="008A4CE2">
      <w:pPr>
        <w:pStyle w:val="ListParagraph"/>
        <w:rPr>
          <w:rFonts w:ascii="Arial Narrow" w:hAnsi="Arial Narrow"/>
          <w:sz w:val="28"/>
          <w:szCs w:val="28"/>
        </w:rPr>
      </w:pPr>
    </w:p>
    <w:p w14:paraId="658CD947" w14:textId="14372952" w:rsidR="004911F1" w:rsidRDefault="00DE0D93" w:rsidP="00894D2E">
      <w:pPr>
        <w:pStyle w:val="ListParagraph"/>
        <w:numPr>
          <w:ilvl w:val="0"/>
          <w:numId w:val="4"/>
        </w:numPr>
        <w:tabs>
          <w:tab w:val="left" w:pos="567"/>
        </w:tabs>
        <w:spacing w:line="360" w:lineRule="auto"/>
        <w:ind w:left="567" w:hanging="567"/>
        <w:jc w:val="both"/>
        <w:rPr>
          <w:rFonts w:ascii="Arial Narrow" w:hAnsi="Arial Narrow"/>
          <w:sz w:val="28"/>
          <w:szCs w:val="28"/>
        </w:rPr>
      </w:pPr>
      <w:r>
        <w:rPr>
          <w:rFonts w:ascii="Arial Narrow" w:hAnsi="Arial Narrow"/>
          <w:sz w:val="28"/>
          <w:szCs w:val="28"/>
        </w:rPr>
        <w:t>I have to confess a certain prejud</w:t>
      </w:r>
      <w:r w:rsidR="00A70B0A">
        <w:rPr>
          <w:rFonts w:ascii="Arial Narrow" w:hAnsi="Arial Narrow"/>
          <w:sz w:val="28"/>
          <w:szCs w:val="28"/>
        </w:rPr>
        <w:t>ice as a probably</w:t>
      </w:r>
      <w:r w:rsidR="00624A77">
        <w:rPr>
          <w:rFonts w:ascii="Arial Narrow" w:hAnsi="Arial Narrow"/>
          <w:sz w:val="28"/>
          <w:szCs w:val="28"/>
        </w:rPr>
        <w:t xml:space="preserve"> fairly crusty Chancery practitioner (though I hasten to add that I do appear from </w:t>
      </w:r>
      <w:r w:rsidR="00526B7D">
        <w:rPr>
          <w:rFonts w:ascii="Arial Narrow" w:hAnsi="Arial Narrow"/>
          <w:sz w:val="28"/>
          <w:szCs w:val="28"/>
        </w:rPr>
        <w:t>time to time in the Court of Protection)</w:t>
      </w:r>
      <w:r w:rsidR="00FF27D9">
        <w:rPr>
          <w:rFonts w:ascii="Arial Narrow" w:hAnsi="Arial Narrow"/>
          <w:sz w:val="28"/>
          <w:szCs w:val="28"/>
        </w:rPr>
        <w:t>: I rejoiced, at least internally, when this debate a</w:t>
      </w:r>
      <w:r w:rsidR="006962AC">
        <w:rPr>
          <w:rFonts w:ascii="Arial Narrow" w:hAnsi="Arial Narrow"/>
          <w:sz w:val="28"/>
          <w:szCs w:val="28"/>
        </w:rPr>
        <w:t xml:space="preserve">bout the </w:t>
      </w:r>
      <w:r w:rsidR="006962AC">
        <w:rPr>
          <w:rFonts w:ascii="Arial Narrow" w:hAnsi="Arial Narrow"/>
          <w:sz w:val="28"/>
          <w:szCs w:val="28"/>
        </w:rPr>
        <w:lastRenderedPageBreak/>
        <w:t>potentially differing tests a</w:t>
      </w:r>
      <w:r w:rsidR="00FF27D9">
        <w:rPr>
          <w:rFonts w:ascii="Arial Narrow" w:hAnsi="Arial Narrow"/>
          <w:sz w:val="28"/>
          <w:szCs w:val="28"/>
        </w:rPr>
        <w:t>ppeared to have been shut down</w:t>
      </w:r>
      <w:r w:rsidR="00730BB7">
        <w:rPr>
          <w:rFonts w:ascii="Arial Narrow" w:hAnsi="Arial Narrow"/>
          <w:sz w:val="28"/>
          <w:szCs w:val="28"/>
        </w:rPr>
        <w:t xml:space="preserve"> by </w:t>
      </w:r>
      <w:r w:rsidR="00365D7C">
        <w:rPr>
          <w:rFonts w:ascii="Arial Narrow" w:hAnsi="Arial Narrow"/>
          <w:sz w:val="28"/>
          <w:szCs w:val="28"/>
        </w:rPr>
        <w:t xml:space="preserve">Nicholas Strauss QC sitting as a High Court </w:t>
      </w:r>
      <w:r w:rsidR="00753215">
        <w:rPr>
          <w:rFonts w:ascii="Arial Narrow" w:hAnsi="Arial Narrow"/>
          <w:sz w:val="28"/>
          <w:szCs w:val="28"/>
        </w:rPr>
        <w:t xml:space="preserve">Judge in </w:t>
      </w:r>
      <w:r w:rsidR="00910BF9">
        <w:rPr>
          <w:rFonts w:ascii="Arial Narrow" w:hAnsi="Arial Narrow"/>
          <w:b/>
          <w:bCs/>
          <w:sz w:val="28"/>
          <w:szCs w:val="28"/>
          <w:u w:val="single"/>
        </w:rPr>
        <w:t xml:space="preserve">Re Walker </w:t>
      </w:r>
      <w:r w:rsidR="00910BF9" w:rsidRPr="002378B5">
        <w:rPr>
          <w:rFonts w:ascii="Arial Narrow" w:hAnsi="Arial Narrow"/>
          <w:b/>
          <w:bCs/>
          <w:sz w:val="28"/>
          <w:szCs w:val="28"/>
          <w:u w:val="single"/>
        </w:rPr>
        <w:t>dcd</w:t>
      </w:r>
      <w:r w:rsidR="00910BF9" w:rsidRPr="002378B5">
        <w:rPr>
          <w:rFonts w:ascii="Arial Narrow" w:hAnsi="Arial Narrow"/>
          <w:b/>
          <w:bCs/>
          <w:sz w:val="28"/>
          <w:szCs w:val="28"/>
        </w:rPr>
        <w:t xml:space="preserve"> [20</w:t>
      </w:r>
      <w:r w:rsidR="00725F6C" w:rsidRPr="002378B5">
        <w:rPr>
          <w:rFonts w:ascii="Arial Narrow" w:hAnsi="Arial Narrow"/>
          <w:b/>
          <w:bCs/>
          <w:sz w:val="28"/>
          <w:szCs w:val="28"/>
        </w:rPr>
        <w:t>14] EWHC 71 (</w:t>
      </w:r>
      <w:r w:rsidR="002378B5" w:rsidRPr="002378B5">
        <w:rPr>
          <w:rFonts w:ascii="Arial Narrow" w:hAnsi="Arial Narrow"/>
          <w:b/>
          <w:bCs/>
          <w:sz w:val="28"/>
          <w:szCs w:val="28"/>
        </w:rPr>
        <w:t>Ch)</w:t>
      </w:r>
      <w:r w:rsidR="002378B5">
        <w:rPr>
          <w:rFonts w:ascii="Arial Narrow" w:hAnsi="Arial Narrow"/>
          <w:sz w:val="28"/>
          <w:szCs w:val="28"/>
        </w:rPr>
        <w:t xml:space="preserve">.  He deprecated the </w:t>
      </w:r>
      <w:r w:rsidR="00A4300F">
        <w:rPr>
          <w:rFonts w:ascii="Arial Narrow" w:hAnsi="Arial Narrow"/>
          <w:sz w:val="28"/>
          <w:szCs w:val="28"/>
        </w:rPr>
        <w:t xml:space="preserve">then recent </w:t>
      </w:r>
      <w:r w:rsidR="002378B5">
        <w:rPr>
          <w:rFonts w:ascii="Arial Narrow" w:hAnsi="Arial Narrow"/>
          <w:sz w:val="28"/>
          <w:szCs w:val="28"/>
        </w:rPr>
        <w:t>ten</w:t>
      </w:r>
      <w:r w:rsidR="00A4300F">
        <w:rPr>
          <w:rFonts w:ascii="Arial Narrow" w:hAnsi="Arial Narrow"/>
          <w:sz w:val="28"/>
          <w:szCs w:val="28"/>
        </w:rPr>
        <w:t>dency in cases and textbooks</w:t>
      </w:r>
      <w:r w:rsidR="00471969">
        <w:rPr>
          <w:rFonts w:ascii="Arial Narrow" w:hAnsi="Arial Narrow"/>
          <w:sz w:val="28"/>
          <w:szCs w:val="28"/>
        </w:rPr>
        <w:t xml:space="preserve"> to suggest that the test for capacity in the </w:t>
      </w:r>
      <w:r w:rsidR="00471969">
        <w:rPr>
          <w:rFonts w:ascii="Arial Narrow" w:hAnsi="Arial Narrow"/>
          <w:b/>
          <w:bCs/>
          <w:sz w:val="28"/>
          <w:szCs w:val="28"/>
        </w:rPr>
        <w:t>Mental Capacity Act 2005</w:t>
      </w:r>
      <w:r w:rsidR="00242590">
        <w:rPr>
          <w:rFonts w:ascii="Arial Narrow" w:hAnsi="Arial Narrow"/>
          <w:sz w:val="28"/>
          <w:szCs w:val="28"/>
        </w:rPr>
        <w:t xml:space="preserve"> was a modern restatement of </w:t>
      </w:r>
      <w:r w:rsidR="00242590">
        <w:rPr>
          <w:rFonts w:ascii="Arial Narrow" w:hAnsi="Arial Narrow"/>
          <w:b/>
          <w:bCs/>
          <w:sz w:val="28"/>
          <w:szCs w:val="28"/>
          <w:u w:val="single"/>
        </w:rPr>
        <w:t>Banks v Goodfellow</w:t>
      </w:r>
      <w:r w:rsidR="00242590">
        <w:rPr>
          <w:rFonts w:ascii="Arial Narrow" w:hAnsi="Arial Narrow"/>
          <w:sz w:val="28"/>
          <w:szCs w:val="28"/>
        </w:rPr>
        <w:t>.</w:t>
      </w:r>
      <w:r w:rsidR="00611AED">
        <w:rPr>
          <w:rFonts w:ascii="Arial Narrow" w:hAnsi="Arial Narrow"/>
          <w:sz w:val="28"/>
          <w:szCs w:val="28"/>
        </w:rPr>
        <w:t xml:space="preserve">  He held that the tests were different and served different purposes</w:t>
      </w:r>
      <w:r w:rsidR="009A7894">
        <w:rPr>
          <w:rFonts w:ascii="Arial Narrow" w:hAnsi="Arial Narrow"/>
          <w:sz w:val="28"/>
          <w:szCs w:val="28"/>
        </w:rPr>
        <w:t xml:space="preserve">, with the test under the Act </w:t>
      </w:r>
      <w:r w:rsidR="005D5743">
        <w:rPr>
          <w:rFonts w:ascii="Arial Narrow" w:hAnsi="Arial Narrow"/>
          <w:sz w:val="28"/>
          <w:szCs w:val="28"/>
        </w:rPr>
        <w:t>applying to</w:t>
      </w:r>
      <w:r w:rsidR="00C30403">
        <w:rPr>
          <w:rFonts w:ascii="Arial Narrow" w:hAnsi="Arial Narrow"/>
          <w:sz w:val="28"/>
          <w:szCs w:val="28"/>
        </w:rPr>
        <w:t xml:space="preserve"> whether </w:t>
      </w:r>
      <w:r w:rsidR="003F2A12">
        <w:rPr>
          <w:rFonts w:ascii="Arial Narrow" w:hAnsi="Arial Narrow"/>
          <w:sz w:val="28"/>
          <w:szCs w:val="28"/>
        </w:rPr>
        <w:t>living persons were able to take</w:t>
      </w:r>
      <w:r w:rsidR="00F56BF8">
        <w:rPr>
          <w:rFonts w:ascii="Arial Narrow" w:hAnsi="Arial Narrow"/>
          <w:sz w:val="28"/>
          <w:szCs w:val="28"/>
        </w:rPr>
        <w:t xml:space="preserve"> decisions, and if they were not, how decisions should be taken on their behalf in their best interests.  </w:t>
      </w:r>
      <w:r w:rsidR="0054001F">
        <w:rPr>
          <w:rFonts w:ascii="Arial Narrow" w:hAnsi="Arial Narrow"/>
          <w:sz w:val="28"/>
          <w:szCs w:val="28"/>
        </w:rPr>
        <w:t>He held that the correct and only test for testamentary capaci</w:t>
      </w:r>
      <w:r w:rsidR="00804C2D">
        <w:rPr>
          <w:rFonts w:ascii="Arial Narrow" w:hAnsi="Arial Narrow"/>
          <w:sz w:val="28"/>
          <w:szCs w:val="28"/>
        </w:rPr>
        <w:t xml:space="preserve">ty, to be taken in probate proceedings when an issue </w:t>
      </w:r>
      <w:r w:rsidR="00BE6F41">
        <w:rPr>
          <w:rFonts w:ascii="Arial Narrow" w:hAnsi="Arial Narrow"/>
          <w:sz w:val="28"/>
          <w:szCs w:val="28"/>
        </w:rPr>
        <w:t xml:space="preserve">testamentary capacity arose, was the test in </w:t>
      </w:r>
      <w:r w:rsidR="00BE6F41">
        <w:rPr>
          <w:rFonts w:ascii="Arial Narrow" w:hAnsi="Arial Narrow"/>
          <w:b/>
          <w:bCs/>
          <w:sz w:val="28"/>
          <w:szCs w:val="28"/>
          <w:u w:val="single"/>
        </w:rPr>
        <w:t>Banks v Goodfellow</w:t>
      </w:r>
      <w:r w:rsidR="00BE6F41">
        <w:rPr>
          <w:rFonts w:ascii="Arial Narrow" w:hAnsi="Arial Narrow"/>
          <w:sz w:val="28"/>
          <w:szCs w:val="28"/>
        </w:rPr>
        <w:t xml:space="preserve">.  </w:t>
      </w:r>
      <w:r w:rsidR="00CD691B">
        <w:rPr>
          <w:rFonts w:ascii="Arial Narrow" w:hAnsi="Arial Narrow"/>
          <w:sz w:val="28"/>
          <w:szCs w:val="28"/>
        </w:rPr>
        <w:t xml:space="preserve">As Judge </w:t>
      </w:r>
      <w:r w:rsidR="00140FA9">
        <w:rPr>
          <w:rFonts w:ascii="Arial Narrow" w:hAnsi="Arial Narrow"/>
          <w:sz w:val="28"/>
          <w:szCs w:val="28"/>
        </w:rPr>
        <w:t>Tindal noted, that position ha</w:t>
      </w:r>
      <w:r w:rsidR="00F24CC3">
        <w:rPr>
          <w:rFonts w:ascii="Arial Narrow" w:hAnsi="Arial Narrow"/>
          <w:sz w:val="28"/>
          <w:szCs w:val="28"/>
        </w:rPr>
        <w:t>s</w:t>
      </w:r>
      <w:r w:rsidR="00140FA9">
        <w:rPr>
          <w:rFonts w:ascii="Arial Narrow" w:hAnsi="Arial Narrow"/>
          <w:sz w:val="28"/>
          <w:szCs w:val="28"/>
        </w:rPr>
        <w:t xml:space="preserve"> been trenc</w:t>
      </w:r>
      <w:r w:rsidR="007512B0">
        <w:rPr>
          <w:rFonts w:ascii="Arial Narrow" w:hAnsi="Arial Narrow"/>
          <w:sz w:val="28"/>
          <w:szCs w:val="28"/>
        </w:rPr>
        <w:t xml:space="preserve">hantly endorsed in the current edition of </w:t>
      </w:r>
      <w:r w:rsidR="007512B0">
        <w:rPr>
          <w:rFonts w:ascii="Arial Narrow" w:hAnsi="Arial Narrow"/>
          <w:i/>
          <w:iCs/>
          <w:sz w:val="28"/>
          <w:szCs w:val="28"/>
        </w:rPr>
        <w:t>Theobald on Wills</w:t>
      </w:r>
      <w:r w:rsidR="00D2184E">
        <w:rPr>
          <w:rFonts w:ascii="Arial Narrow" w:hAnsi="Arial Narrow"/>
          <w:sz w:val="28"/>
          <w:szCs w:val="28"/>
        </w:rPr>
        <w:t xml:space="preserve">, in which the learned editors </w:t>
      </w:r>
      <w:r w:rsidR="00542B07">
        <w:rPr>
          <w:rFonts w:ascii="Arial Narrow" w:hAnsi="Arial Narrow"/>
          <w:sz w:val="28"/>
          <w:szCs w:val="28"/>
        </w:rPr>
        <w:t xml:space="preserve">expressed the view that although it was </w:t>
      </w:r>
      <w:r w:rsidR="00AA2B38">
        <w:rPr>
          <w:rFonts w:ascii="Arial Narrow" w:hAnsi="Arial Narrow"/>
          <w:sz w:val="28"/>
          <w:szCs w:val="28"/>
        </w:rPr>
        <w:t>a decision only at first instance, it was clearly correct.</w:t>
      </w:r>
    </w:p>
    <w:p w14:paraId="2B221CFB" w14:textId="56BEA4BF" w:rsidR="004911F1" w:rsidRDefault="004911F1" w:rsidP="004911F1">
      <w:pPr>
        <w:pStyle w:val="ListParagraph"/>
        <w:tabs>
          <w:tab w:val="left" w:pos="567"/>
        </w:tabs>
        <w:spacing w:line="360" w:lineRule="auto"/>
        <w:ind w:left="567"/>
        <w:jc w:val="both"/>
        <w:rPr>
          <w:rFonts w:ascii="Arial Narrow" w:hAnsi="Arial Narrow"/>
          <w:sz w:val="28"/>
          <w:szCs w:val="28"/>
        </w:rPr>
      </w:pPr>
    </w:p>
    <w:p w14:paraId="23446950" w14:textId="35B015AA" w:rsidR="00195C7F" w:rsidRDefault="004911F1" w:rsidP="00894D2E">
      <w:pPr>
        <w:pStyle w:val="ListParagraph"/>
        <w:numPr>
          <w:ilvl w:val="0"/>
          <w:numId w:val="4"/>
        </w:numPr>
        <w:tabs>
          <w:tab w:val="left" w:pos="567"/>
        </w:tabs>
        <w:spacing w:line="360" w:lineRule="auto"/>
        <w:ind w:left="567" w:hanging="567"/>
        <w:jc w:val="both"/>
        <w:rPr>
          <w:rFonts w:ascii="Arial Narrow" w:hAnsi="Arial Narrow"/>
          <w:sz w:val="28"/>
          <w:szCs w:val="28"/>
        </w:rPr>
      </w:pPr>
      <w:r>
        <w:rPr>
          <w:rFonts w:ascii="Arial Narrow" w:hAnsi="Arial Narrow"/>
          <w:sz w:val="28"/>
          <w:szCs w:val="28"/>
        </w:rPr>
        <w:t xml:space="preserve">Judge Tindal has, perhaps, re-opened the debate to a certain extent, </w:t>
      </w:r>
      <w:r w:rsidR="005E0C34">
        <w:rPr>
          <w:rFonts w:ascii="Arial Narrow" w:hAnsi="Arial Narrow"/>
          <w:sz w:val="28"/>
          <w:szCs w:val="28"/>
        </w:rPr>
        <w:t>although his aim appears to have been to reconcile the potentially different tests.</w:t>
      </w:r>
      <w:r w:rsidR="00ED30EA">
        <w:rPr>
          <w:rFonts w:ascii="Arial Narrow" w:hAnsi="Arial Narrow"/>
          <w:sz w:val="28"/>
          <w:szCs w:val="28"/>
        </w:rPr>
        <w:t xml:space="preserve">  What is his reasoning for doing so? Well, </w:t>
      </w:r>
      <w:r w:rsidR="00D90DDC">
        <w:rPr>
          <w:rFonts w:ascii="Arial Narrow" w:hAnsi="Arial Narrow"/>
          <w:sz w:val="28"/>
          <w:szCs w:val="28"/>
        </w:rPr>
        <w:t>Judge T</w:t>
      </w:r>
      <w:r w:rsidR="0068756F">
        <w:rPr>
          <w:rFonts w:ascii="Arial Narrow" w:hAnsi="Arial Narrow"/>
          <w:sz w:val="28"/>
          <w:szCs w:val="28"/>
        </w:rPr>
        <w:t xml:space="preserve">indal identified what he saw as a practical problem.  </w:t>
      </w:r>
      <w:r w:rsidR="009226ED">
        <w:rPr>
          <w:rFonts w:ascii="Arial Narrow" w:hAnsi="Arial Narrow"/>
          <w:sz w:val="28"/>
          <w:szCs w:val="28"/>
        </w:rPr>
        <w:t xml:space="preserve">He said that if the common law test and the statutory test were substantively different then it would give rise to a risk </w:t>
      </w:r>
      <w:r w:rsidR="00C01F90">
        <w:rPr>
          <w:rFonts w:ascii="Arial Narrow" w:hAnsi="Arial Narrow"/>
          <w:sz w:val="28"/>
          <w:szCs w:val="28"/>
        </w:rPr>
        <w:t xml:space="preserve">that different decisions could be reached about capacity in different courts </w:t>
      </w:r>
      <w:r w:rsidR="00DA5E8E">
        <w:rPr>
          <w:rFonts w:ascii="Arial Narrow" w:hAnsi="Arial Narrow"/>
          <w:sz w:val="28"/>
          <w:szCs w:val="28"/>
        </w:rPr>
        <w:t>for the same living testator.</w:t>
      </w:r>
      <w:r w:rsidR="009007DB">
        <w:rPr>
          <w:rFonts w:ascii="Arial Narrow" w:hAnsi="Arial Narrow"/>
          <w:sz w:val="28"/>
          <w:szCs w:val="28"/>
        </w:rPr>
        <w:t xml:space="preserve">  The Chancery Division could find that a testator had capacity to make a will, so that it </w:t>
      </w:r>
      <w:r w:rsidR="00B35594">
        <w:rPr>
          <w:rFonts w:ascii="Arial Narrow" w:hAnsi="Arial Narrow"/>
          <w:sz w:val="28"/>
          <w:szCs w:val="28"/>
        </w:rPr>
        <w:t>was valid, but the Court of Protection might find that the same testator lac</w:t>
      </w:r>
      <w:r w:rsidR="00E01D7D">
        <w:rPr>
          <w:rFonts w:ascii="Arial Narrow" w:hAnsi="Arial Narrow"/>
          <w:sz w:val="28"/>
          <w:szCs w:val="28"/>
        </w:rPr>
        <w:t>k</w:t>
      </w:r>
      <w:r w:rsidR="00B35594">
        <w:rPr>
          <w:rFonts w:ascii="Arial Narrow" w:hAnsi="Arial Narrow"/>
          <w:sz w:val="28"/>
          <w:szCs w:val="28"/>
        </w:rPr>
        <w:t>ed capacity and so could make a statutory will</w:t>
      </w:r>
      <w:r w:rsidR="00E01D7D">
        <w:rPr>
          <w:rFonts w:ascii="Arial Narrow" w:hAnsi="Arial Narrow"/>
          <w:sz w:val="28"/>
          <w:szCs w:val="28"/>
        </w:rPr>
        <w:t xml:space="preserve"> for him.</w:t>
      </w:r>
      <w:r w:rsidR="00422516">
        <w:rPr>
          <w:rFonts w:ascii="Arial Narrow" w:hAnsi="Arial Narrow"/>
          <w:sz w:val="28"/>
          <w:szCs w:val="28"/>
        </w:rPr>
        <w:t xml:space="preserve">  </w:t>
      </w:r>
      <w:r w:rsidR="00277D7B">
        <w:rPr>
          <w:rFonts w:ascii="Arial Narrow" w:hAnsi="Arial Narrow"/>
          <w:sz w:val="28"/>
          <w:szCs w:val="28"/>
        </w:rPr>
        <w:t xml:space="preserve">Or, as Judge Tindal thought worse, </w:t>
      </w:r>
      <w:r w:rsidR="009C7882">
        <w:rPr>
          <w:rFonts w:ascii="Arial Narrow" w:hAnsi="Arial Narrow"/>
          <w:sz w:val="28"/>
          <w:szCs w:val="28"/>
        </w:rPr>
        <w:t xml:space="preserve">that </w:t>
      </w:r>
      <w:r w:rsidR="00DB2E5D">
        <w:rPr>
          <w:rFonts w:ascii="Arial Narrow" w:hAnsi="Arial Narrow"/>
          <w:sz w:val="28"/>
          <w:szCs w:val="28"/>
        </w:rPr>
        <w:t>the Chancery Division might decide that</w:t>
      </w:r>
      <w:r w:rsidR="00A9433B">
        <w:rPr>
          <w:rFonts w:ascii="Arial Narrow" w:hAnsi="Arial Narrow"/>
          <w:sz w:val="28"/>
          <w:szCs w:val="28"/>
        </w:rPr>
        <w:t xml:space="preserve"> a testator </w:t>
      </w:r>
      <w:r w:rsidR="00D756BE">
        <w:rPr>
          <w:rFonts w:ascii="Arial Narrow" w:hAnsi="Arial Narrow"/>
          <w:sz w:val="28"/>
          <w:szCs w:val="28"/>
        </w:rPr>
        <w:t xml:space="preserve">lacked capacity, so his will was invalid, but the Court of Protection might find </w:t>
      </w:r>
      <w:r w:rsidR="001537A1">
        <w:rPr>
          <w:rFonts w:ascii="Arial Narrow" w:hAnsi="Arial Narrow"/>
          <w:sz w:val="28"/>
          <w:szCs w:val="28"/>
        </w:rPr>
        <w:t xml:space="preserve">that the same testator had capacity, so decline to make a statutory </w:t>
      </w:r>
      <w:r w:rsidR="001537A1">
        <w:rPr>
          <w:rFonts w:ascii="Arial Narrow" w:hAnsi="Arial Narrow"/>
          <w:sz w:val="28"/>
          <w:szCs w:val="28"/>
        </w:rPr>
        <w:lastRenderedPageBreak/>
        <w:t>will for him, with the result that he ended up intestate.</w:t>
      </w:r>
      <w:r w:rsidR="00E04205">
        <w:rPr>
          <w:rFonts w:ascii="Arial Narrow" w:hAnsi="Arial Narrow"/>
          <w:sz w:val="28"/>
          <w:szCs w:val="28"/>
        </w:rPr>
        <w:t xml:space="preserve">  For my own part, although I agree with Judge Tindal that </w:t>
      </w:r>
      <w:r w:rsidR="00DC706B">
        <w:rPr>
          <w:rFonts w:ascii="Arial Narrow" w:hAnsi="Arial Narrow"/>
          <w:sz w:val="28"/>
          <w:szCs w:val="28"/>
        </w:rPr>
        <w:t xml:space="preserve">this would be an </w:t>
      </w:r>
      <w:r w:rsidR="00DB4C74">
        <w:rPr>
          <w:rFonts w:ascii="Arial Narrow" w:hAnsi="Arial Narrow"/>
          <w:sz w:val="28"/>
          <w:szCs w:val="28"/>
        </w:rPr>
        <w:t xml:space="preserve">impracticable, illogical or inconvenient result, I am </w:t>
      </w:r>
      <w:r w:rsidR="00743FC5">
        <w:rPr>
          <w:rFonts w:ascii="Arial Narrow" w:hAnsi="Arial Narrow"/>
          <w:sz w:val="28"/>
          <w:szCs w:val="28"/>
        </w:rPr>
        <w:t>un</w:t>
      </w:r>
      <w:r w:rsidR="00DB4C74">
        <w:rPr>
          <w:rFonts w:ascii="Arial Narrow" w:hAnsi="Arial Narrow"/>
          <w:sz w:val="28"/>
          <w:szCs w:val="28"/>
        </w:rPr>
        <w:t xml:space="preserve">sure that it </w:t>
      </w:r>
      <w:r w:rsidR="002F414B">
        <w:rPr>
          <w:rFonts w:ascii="Arial Narrow" w:hAnsi="Arial Narrow"/>
          <w:sz w:val="28"/>
          <w:szCs w:val="28"/>
        </w:rPr>
        <w:t>would be likely to arise in practice</w:t>
      </w:r>
      <w:r w:rsidR="002F1DD7">
        <w:rPr>
          <w:rFonts w:ascii="Arial Narrow" w:hAnsi="Arial Narrow"/>
          <w:sz w:val="28"/>
          <w:szCs w:val="28"/>
        </w:rPr>
        <w:t>, except in rare circumstances.</w:t>
      </w:r>
    </w:p>
    <w:p w14:paraId="4AB93E89" w14:textId="3FA0F0E6" w:rsidR="00195C7F" w:rsidRDefault="00195C7F" w:rsidP="00195C7F">
      <w:pPr>
        <w:pStyle w:val="ListParagraph"/>
        <w:tabs>
          <w:tab w:val="left" w:pos="567"/>
        </w:tabs>
        <w:spacing w:line="360" w:lineRule="auto"/>
        <w:ind w:left="567"/>
        <w:jc w:val="both"/>
        <w:rPr>
          <w:rFonts w:ascii="Arial Narrow" w:hAnsi="Arial Narrow"/>
          <w:sz w:val="28"/>
          <w:szCs w:val="28"/>
        </w:rPr>
      </w:pPr>
    </w:p>
    <w:p w14:paraId="40CD5D60" w14:textId="77777777" w:rsidR="00394F92" w:rsidRDefault="00195C7F" w:rsidP="00894D2E">
      <w:pPr>
        <w:pStyle w:val="ListParagraph"/>
        <w:numPr>
          <w:ilvl w:val="0"/>
          <w:numId w:val="4"/>
        </w:numPr>
        <w:tabs>
          <w:tab w:val="left" w:pos="567"/>
        </w:tabs>
        <w:spacing w:line="360" w:lineRule="auto"/>
        <w:ind w:left="567" w:hanging="567"/>
        <w:jc w:val="both"/>
        <w:rPr>
          <w:rFonts w:ascii="Arial Narrow" w:hAnsi="Arial Narrow"/>
          <w:sz w:val="28"/>
          <w:szCs w:val="28"/>
        </w:rPr>
      </w:pPr>
      <w:r>
        <w:rPr>
          <w:rFonts w:ascii="Arial Narrow" w:hAnsi="Arial Narrow"/>
          <w:sz w:val="28"/>
          <w:szCs w:val="28"/>
        </w:rPr>
        <w:t xml:space="preserve">However, the key points to take from Judge Tindal’s analysis </w:t>
      </w:r>
      <w:r w:rsidR="00FC4F3F">
        <w:rPr>
          <w:rFonts w:ascii="Arial Narrow" w:hAnsi="Arial Narrow"/>
          <w:sz w:val="28"/>
          <w:szCs w:val="28"/>
        </w:rPr>
        <w:t xml:space="preserve">of the two tests, is as follows.  First, in Judge Tindal’s </w:t>
      </w:r>
      <w:r w:rsidR="00F77CE5">
        <w:rPr>
          <w:rFonts w:ascii="Arial Narrow" w:hAnsi="Arial Narrow"/>
          <w:sz w:val="28"/>
          <w:szCs w:val="28"/>
        </w:rPr>
        <w:t xml:space="preserve">view, </w:t>
      </w:r>
      <w:r w:rsidR="00F77CE5">
        <w:rPr>
          <w:rFonts w:ascii="Arial Narrow" w:hAnsi="Arial Narrow"/>
          <w:b/>
          <w:bCs/>
          <w:sz w:val="28"/>
          <w:szCs w:val="28"/>
        </w:rPr>
        <w:t>ss.2-3 Mental Capacity Act 2005</w:t>
      </w:r>
      <w:r w:rsidR="00C05CCA">
        <w:rPr>
          <w:rFonts w:ascii="Arial Narrow" w:hAnsi="Arial Narrow"/>
          <w:sz w:val="28"/>
          <w:szCs w:val="28"/>
        </w:rPr>
        <w:t xml:space="preserve"> do not strictly apply to testamentary capacity in probate cases.</w:t>
      </w:r>
      <w:r w:rsidR="008D216D">
        <w:rPr>
          <w:rFonts w:ascii="Arial Narrow" w:hAnsi="Arial Narrow"/>
          <w:sz w:val="28"/>
          <w:szCs w:val="28"/>
        </w:rPr>
        <w:t xml:space="preserve">  He accepted that the common law test applied here</w:t>
      </w:r>
      <w:r w:rsidR="005D7610">
        <w:rPr>
          <w:rFonts w:ascii="Arial Narrow" w:hAnsi="Arial Narrow"/>
          <w:sz w:val="28"/>
          <w:szCs w:val="28"/>
        </w:rPr>
        <w:t xml:space="preserve"> and that deciding whether a t</w:t>
      </w:r>
      <w:r w:rsidR="005F4087">
        <w:rPr>
          <w:rFonts w:ascii="Arial Narrow" w:hAnsi="Arial Narrow"/>
          <w:sz w:val="28"/>
          <w:szCs w:val="28"/>
        </w:rPr>
        <w:t>estator</w:t>
      </w:r>
      <w:r w:rsidR="005D7610">
        <w:rPr>
          <w:rFonts w:ascii="Arial Narrow" w:hAnsi="Arial Narrow"/>
          <w:sz w:val="28"/>
          <w:szCs w:val="28"/>
        </w:rPr>
        <w:t xml:space="preserve"> had </w:t>
      </w:r>
      <w:r w:rsidR="005F4087">
        <w:rPr>
          <w:rFonts w:ascii="Arial Narrow" w:hAnsi="Arial Narrow"/>
          <w:sz w:val="28"/>
          <w:szCs w:val="28"/>
        </w:rPr>
        <w:t xml:space="preserve">testamentary </w:t>
      </w:r>
      <w:r w:rsidR="005D7610">
        <w:rPr>
          <w:rFonts w:ascii="Arial Narrow" w:hAnsi="Arial Narrow"/>
          <w:sz w:val="28"/>
          <w:szCs w:val="28"/>
        </w:rPr>
        <w:t>capacity</w:t>
      </w:r>
      <w:r w:rsidR="005F4087">
        <w:rPr>
          <w:rFonts w:ascii="Arial Narrow" w:hAnsi="Arial Narrow"/>
          <w:sz w:val="28"/>
          <w:szCs w:val="28"/>
        </w:rPr>
        <w:t xml:space="preserve"> in a probate case is not a purpose of the </w:t>
      </w:r>
      <w:r w:rsidR="005F4087">
        <w:rPr>
          <w:rFonts w:ascii="Arial Narrow" w:hAnsi="Arial Narrow"/>
          <w:b/>
          <w:bCs/>
          <w:sz w:val="28"/>
          <w:szCs w:val="28"/>
        </w:rPr>
        <w:t>Mental Capacity Act 2005</w:t>
      </w:r>
      <w:r w:rsidR="005F4087">
        <w:rPr>
          <w:rFonts w:ascii="Arial Narrow" w:hAnsi="Arial Narrow"/>
          <w:sz w:val="28"/>
          <w:szCs w:val="28"/>
        </w:rPr>
        <w:t>.</w:t>
      </w:r>
      <w:r w:rsidR="00EB3072">
        <w:rPr>
          <w:rFonts w:ascii="Arial Narrow" w:hAnsi="Arial Narrow"/>
          <w:sz w:val="28"/>
          <w:szCs w:val="28"/>
        </w:rPr>
        <w:t xml:space="preserve">  I respectfully agree.  This must be right and is consistent with </w:t>
      </w:r>
      <w:r w:rsidR="00394F92">
        <w:rPr>
          <w:rFonts w:ascii="Arial Narrow" w:hAnsi="Arial Narrow"/>
          <w:sz w:val="28"/>
          <w:szCs w:val="28"/>
        </w:rPr>
        <w:t xml:space="preserve">the decision in </w:t>
      </w:r>
      <w:r w:rsidR="00394F92">
        <w:rPr>
          <w:rFonts w:ascii="Arial Narrow" w:hAnsi="Arial Narrow"/>
          <w:b/>
          <w:bCs/>
          <w:sz w:val="28"/>
          <w:szCs w:val="28"/>
          <w:u w:val="single"/>
        </w:rPr>
        <w:t>Re Walker</w:t>
      </w:r>
      <w:r w:rsidR="00394F92">
        <w:rPr>
          <w:rFonts w:ascii="Arial Narrow" w:hAnsi="Arial Narrow"/>
          <w:sz w:val="28"/>
          <w:szCs w:val="28"/>
        </w:rPr>
        <w:t>, among others.</w:t>
      </w:r>
    </w:p>
    <w:p w14:paraId="2183FB4D" w14:textId="77777777" w:rsidR="00394F92" w:rsidRPr="00394F92" w:rsidRDefault="00394F92" w:rsidP="00394F92">
      <w:pPr>
        <w:pStyle w:val="ListParagraph"/>
        <w:rPr>
          <w:rFonts w:ascii="Arial Narrow" w:hAnsi="Arial Narrow"/>
          <w:sz w:val="28"/>
          <w:szCs w:val="28"/>
        </w:rPr>
      </w:pPr>
    </w:p>
    <w:p w14:paraId="47D313B8" w14:textId="01AB8D4A" w:rsidR="002A7F82" w:rsidRDefault="000E50CA" w:rsidP="00894D2E">
      <w:pPr>
        <w:pStyle w:val="ListParagraph"/>
        <w:numPr>
          <w:ilvl w:val="0"/>
          <w:numId w:val="4"/>
        </w:numPr>
        <w:tabs>
          <w:tab w:val="left" w:pos="567"/>
        </w:tabs>
        <w:spacing w:line="360" w:lineRule="auto"/>
        <w:ind w:left="567" w:hanging="567"/>
        <w:jc w:val="both"/>
        <w:rPr>
          <w:rFonts w:ascii="Arial Narrow" w:hAnsi="Arial Narrow"/>
          <w:sz w:val="28"/>
          <w:szCs w:val="28"/>
        </w:rPr>
      </w:pPr>
      <w:r>
        <w:rPr>
          <w:rFonts w:ascii="Arial Narrow" w:hAnsi="Arial Narrow"/>
          <w:sz w:val="28"/>
          <w:szCs w:val="28"/>
        </w:rPr>
        <w:t xml:space="preserve">However, he tentatively proposed a </w:t>
      </w:r>
      <w:r w:rsidR="00A72FBE">
        <w:rPr>
          <w:rFonts w:ascii="Arial Narrow" w:hAnsi="Arial Narrow"/>
          <w:sz w:val="28"/>
          <w:szCs w:val="28"/>
        </w:rPr>
        <w:t>‘</w:t>
      </w:r>
      <w:r>
        <w:rPr>
          <w:rFonts w:ascii="Arial Narrow" w:hAnsi="Arial Narrow"/>
          <w:sz w:val="28"/>
          <w:szCs w:val="28"/>
        </w:rPr>
        <w:t>compromise solution</w:t>
      </w:r>
      <w:r w:rsidR="00A72FBE">
        <w:rPr>
          <w:rFonts w:ascii="Arial Narrow" w:hAnsi="Arial Narrow"/>
          <w:sz w:val="28"/>
          <w:szCs w:val="28"/>
        </w:rPr>
        <w:t>’ to reconcile the two tests</w:t>
      </w:r>
      <w:r w:rsidR="00687431">
        <w:rPr>
          <w:rFonts w:ascii="Arial Narrow" w:hAnsi="Arial Narrow"/>
          <w:sz w:val="28"/>
          <w:szCs w:val="28"/>
        </w:rPr>
        <w:t>: (a) h</w:t>
      </w:r>
      <w:r w:rsidR="00A72FBE">
        <w:rPr>
          <w:rFonts w:ascii="Arial Narrow" w:hAnsi="Arial Narrow"/>
          <w:sz w:val="28"/>
          <w:szCs w:val="28"/>
        </w:rPr>
        <w:t xml:space="preserve">e said that </w:t>
      </w:r>
      <w:r w:rsidR="00E00C33">
        <w:rPr>
          <w:rFonts w:ascii="Arial Narrow" w:hAnsi="Arial Narrow"/>
          <w:sz w:val="28"/>
          <w:szCs w:val="28"/>
        </w:rPr>
        <w:t>the statutory and common law tests on capacity were aligned, and consciously so</w:t>
      </w:r>
      <w:r w:rsidR="00687431">
        <w:rPr>
          <w:rFonts w:ascii="Arial Narrow" w:hAnsi="Arial Narrow"/>
          <w:sz w:val="28"/>
          <w:szCs w:val="28"/>
        </w:rPr>
        <w:t>; (b) h</w:t>
      </w:r>
      <w:r w:rsidR="00E00C33">
        <w:rPr>
          <w:rFonts w:ascii="Arial Narrow" w:hAnsi="Arial Narrow"/>
          <w:sz w:val="28"/>
          <w:szCs w:val="28"/>
        </w:rPr>
        <w:t xml:space="preserve">e said that </w:t>
      </w:r>
      <w:r w:rsidR="00AD18ED">
        <w:rPr>
          <w:rFonts w:ascii="Arial Narrow" w:hAnsi="Arial Narrow"/>
          <w:sz w:val="28"/>
          <w:szCs w:val="28"/>
        </w:rPr>
        <w:t xml:space="preserve">the statutory test on capacity was broadly consistent </w:t>
      </w:r>
      <w:r w:rsidR="00F66AB3">
        <w:rPr>
          <w:rFonts w:ascii="Arial Narrow" w:hAnsi="Arial Narrow"/>
          <w:sz w:val="28"/>
          <w:szCs w:val="28"/>
        </w:rPr>
        <w:t>with the common law test on testamentary capacity</w:t>
      </w:r>
      <w:r w:rsidR="00A52D26">
        <w:rPr>
          <w:rFonts w:ascii="Arial Narrow" w:hAnsi="Arial Narrow"/>
          <w:sz w:val="28"/>
          <w:szCs w:val="28"/>
        </w:rPr>
        <w:t>; (c) h</w:t>
      </w:r>
      <w:r w:rsidR="00F66AB3">
        <w:rPr>
          <w:rFonts w:ascii="Arial Narrow" w:hAnsi="Arial Narrow"/>
          <w:sz w:val="28"/>
          <w:szCs w:val="28"/>
        </w:rPr>
        <w:t xml:space="preserve">e suggested that </w:t>
      </w:r>
      <w:r w:rsidR="00521FD3">
        <w:rPr>
          <w:rFonts w:ascii="Arial Narrow" w:hAnsi="Arial Narrow"/>
          <w:sz w:val="28"/>
          <w:szCs w:val="28"/>
        </w:rPr>
        <w:t xml:space="preserve">the statutory test and the </w:t>
      </w:r>
      <w:r w:rsidR="00521FD3">
        <w:rPr>
          <w:rFonts w:ascii="Arial Narrow" w:hAnsi="Arial Narrow"/>
          <w:b/>
          <w:bCs/>
          <w:sz w:val="28"/>
          <w:szCs w:val="28"/>
          <w:u w:val="single"/>
        </w:rPr>
        <w:t>Banks v Goodfellow</w:t>
      </w:r>
      <w:r w:rsidR="00521FD3">
        <w:rPr>
          <w:rFonts w:ascii="Arial Narrow" w:hAnsi="Arial Narrow"/>
          <w:sz w:val="28"/>
          <w:szCs w:val="28"/>
        </w:rPr>
        <w:t xml:space="preserve"> criteria are </w:t>
      </w:r>
      <w:r w:rsidR="00256914">
        <w:rPr>
          <w:rFonts w:ascii="Arial Narrow" w:hAnsi="Arial Narrow"/>
          <w:sz w:val="28"/>
          <w:szCs w:val="28"/>
        </w:rPr>
        <w:t>consistent and can accommodate each other</w:t>
      </w:r>
      <w:r w:rsidR="00A52D26">
        <w:rPr>
          <w:rFonts w:ascii="Arial Narrow" w:hAnsi="Arial Narrow"/>
          <w:sz w:val="28"/>
          <w:szCs w:val="28"/>
        </w:rPr>
        <w:t>;</w:t>
      </w:r>
      <w:r w:rsidR="007C6471">
        <w:rPr>
          <w:rFonts w:ascii="Arial Narrow" w:hAnsi="Arial Narrow"/>
          <w:sz w:val="28"/>
          <w:szCs w:val="28"/>
        </w:rPr>
        <w:t xml:space="preserve"> and, finally, </w:t>
      </w:r>
      <w:r w:rsidR="00A52D26">
        <w:rPr>
          <w:rFonts w:ascii="Arial Narrow" w:hAnsi="Arial Narrow"/>
          <w:sz w:val="28"/>
          <w:szCs w:val="28"/>
        </w:rPr>
        <w:t xml:space="preserve">(d) </w:t>
      </w:r>
      <w:r w:rsidR="007C6471">
        <w:rPr>
          <w:rFonts w:ascii="Arial Narrow" w:hAnsi="Arial Narrow"/>
          <w:sz w:val="28"/>
          <w:szCs w:val="28"/>
        </w:rPr>
        <w:t xml:space="preserve">that the statutory provisions are appropriate </w:t>
      </w:r>
      <w:r w:rsidR="007755F2">
        <w:rPr>
          <w:rFonts w:ascii="Arial Narrow" w:hAnsi="Arial Narrow"/>
          <w:sz w:val="28"/>
          <w:szCs w:val="28"/>
        </w:rPr>
        <w:t xml:space="preserve">to be included by analogy with the common law approach </w:t>
      </w:r>
      <w:r w:rsidR="002A7F82">
        <w:rPr>
          <w:rFonts w:ascii="Arial Narrow" w:hAnsi="Arial Narrow"/>
          <w:sz w:val="28"/>
          <w:szCs w:val="28"/>
        </w:rPr>
        <w:t>to testamentary capacity in probate cases.</w:t>
      </w:r>
    </w:p>
    <w:p w14:paraId="07A8661E" w14:textId="77777777" w:rsidR="002A7F82" w:rsidRPr="002A7F82" w:rsidRDefault="002A7F82" w:rsidP="002A7F82">
      <w:pPr>
        <w:pStyle w:val="ListParagraph"/>
        <w:rPr>
          <w:rFonts w:ascii="Arial Narrow" w:hAnsi="Arial Narrow"/>
          <w:sz w:val="28"/>
          <w:szCs w:val="28"/>
        </w:rPr>
      </w:pPr>
    </w:p>
    <w:p w14:paraId="1EA87902" w14:textId="4F184071" w:rsidR="002A0C4E" w:rsidRDefault="00091F83" w:rsidP="00894D2E">
      <w:pPr>
        <w:pStyle w:val="ListParagraph"/>
        <w:numPr>
          <w:ilvl w:val="0"/>
          <w:numId w:val="4"/>
        </w:numPr>
        <w:tabs>
          <w:tab w:val="left" w:pos="567"/>
        </w:tabs>
        <w:spacing w:line="360" w:lineRule="auto"/>
        <w:ind w:left="567" w:hanging="567"/>
        <w:jc w:val="both"/>
        <w:rPr>
          <w:rFonts w:ascii="Arial Narrow" w:hAnsi="Arial Narrow"/>
          <w:sz w:val="28"/>
          <w:szCs w:val="28"/>
        </w:rPr>
      </w:pPr>
      <w:r>
        <w:rPr>
          <w:rFonts w:ascii="Arial Narrow" w:hAnsi="Arial Narrow"/>
          <w:sz w:val="28"/>
          <w:szCs w:val="28"/>
        </w:rPr>
        <w:t xml:space="preserve">In relation to his suggestion of the tests being consciously aligned, </w:t>
      </w:r>
      <w:r w:rsidR="007F0744">
        <w:rPr>
          <w:rFonts w:ascii="Arial Narrow" w:hAnsi="Arial Narrow"/>
          <w:sz w:val="28"/>
          <w:szCs w:val="28"/>
        </w:rPr>
        <w:t>Judge Tindal’s view was that, to avoid any impractical</w:t>
      </w:r>
      <w:r w:rsidR="004B17F9">
        <w:rPr>
          <w:rFonts w:ascii="Arial Narrow" w:hAnsi="Arial Narrow"/>
          <w:sz w:val="28"/>
          <w:szCs w:val="28"/>
        </w:rPr>
        <w:t>it</w:t>
      </w:r>
      <w:r w:rsidR="007F0744">
        <w:rPr>
          <w:rFonts w:ascii="Arial Narrow" w:hAnsi="Arial Narrow"/>
          <w:sz w:val="28"/>
          <w:szCs w:val="28"/>
        </w:rPr>
        <w:t>y,</w:t>
      </w:r>
      <w:r w:rsidR="001755CE">
        <w:rPr>
          <w:rFonts w:ascii="Arial Narrow" w:hAnsi="Arial Narrow"/>
          <w:sz w:val="28"/>
          <w:szCs w:val="28"/>
        </w:rPr>
        <w:t xml:space="preserve"> </w:t>
      </w:r>
      <w:r w:rsidR="00B344F9">
        <w:rPr>
          <w:rFonts w:ascii="Arial Narrow" w:hAnsi="Arial Narrow"/>
          <w:sz w:val="28"/>
          <w:szCs w:val="28"/>
        </w:rPr>
        <w:t>it was necessary</w:t>
      </w:r>
      <w:r w:rsidR="004B17F9">
        <w:rPr>
          <w:rFonts w:ascii="Arial Narrow" w:hAnsi="Arial Narrow"/>
          <w:sz w:val="28"/>
          <w:szCs w:val="28"/>
        </w:rPr>
        <w:t xml:space="preserve"> to interpret the </w:t>
      </w:r>
      <w:r w:rsidR="004B17F9">
        <w:rPr>
          <w:rFonts w:ascii="Arial Narrow" w:hAnsi="Arial Narrow"/>
          <w:b/>
          <w:bCs/>
          <w:sz w:val="28"/>
          <w:szCs w:val="28"/>
        </w:rPr>
        <w:t>Mental Capacity Act 2005</w:t>
      </w:r>
      <w:r w:rsidR="00B97136">
        <w:rPr>
          <w:rFonts w:ascii="Arial Narrow" w:hAnsi="Arial Narrow"/>
          <w:sz w:val="28"/>
          <w:szCs w:val="28"/>
        </w:rPr>
        <w:t xml:space="preserve">, where it is applied in the context of testamentary capacity, as being aligned with the common law test in </w:t>
      </w:r>
      <w:r w:rsidR="00B97136">
        <w:rPr>
          <w:rFonts w:ascii="Arial Narrow" w:hAnsi="Arial Narrow"/>
          <w:b/>
          <w:bCs/>
          <w:sz w:val="28"/>
          <w:szCs w:val="28"/>
          <w:u w:val="single"/>
        </w:rPr>
        <w:t>Banks v Goodfellow</w:t>
      </w:r>
      <w:r w:rsidR="00B97136">
        <w:rPr>
          <w:rFonts w:ascii="Arial Narrow" w:hAnsi="Arial Narrow"/>
          <w:sz w:val="28"/>
          <w:szCs w:val="28"/>
        </w:rPr>
        <w:t>.</w:t>
      </w:r>
      <w:r w:rsidR="000F2719">
        <w:rPr>
          <w:rFonts w:ascii="Arial Narrow" w:hAnsi="Arial Narrow"/>
          <w:sz w:val="28"/>
          <w:szCs w:val="28"/>
        </w:rPr>
        <w:t xml:space="preserve">  He suggested this is what Parliament intended.</w:t>
      </w:r>
    </w:p>
    <w:p w14:paraId="4036F906" w14:textId="77777777" w:rsidR="002A0C4E" w:rsidRPr="002A0C4E" w:rsidRDefault="002A0C4E" w:rsidP="002A0C4E">
      <w:pPr>
        <w:pStyle w:val="ListParagraph"/>
        <w:rPr>
          <w:rFonts w:ascii="Arial Narrow" w:hAnsi="Arial Narrow"/>
          <w:sz w:val="28"/>
          <w:szCs w:val="28"/>
        </w:rPr>
      </w:pPr>
    </w:p>
    <w:p w14:paraId="03F5E15B" w14:textId="6BD8C0CB" w:rsidR="00636858" w:rsidRDefault="006F4AA1" w:rsidP="00894D2E">
      <w:pPr>
        <w:pStyle w:val="ListParagraph"/>
        <w:numPr>
          <w:ilvl w:val="0"/>
          <w:numId w:val="4"/>
        </w:numPr>
        <w:tabs>
          <w:tab w:val="left" w:pos="567"/>
        </w:tabs>
        <w:spacing w:line="360" w:lineRule="auto"/>
        <w:ind w:left="567" w:hanging="567"/>
        <w:jc w:val="both"/>
        <w:rPr>
          <w:rFonts w:ascii="Arial Narrow" w:hAnsi="Arial Narrow"/>
          <w:sz w:val="28"/>
          <w:szCs w:val="28"/>
        </w:rPr>
      </w:pPr>
      <w:r>
        <w:rPr>
          <w:rFonts w:ascii="Arial Narrow" w:hAnsi="Arial Narrow"/>
          <w:sz w:val="28"/>
          <w:szCs w:val="28"/>
        </w:rPr>
        <w:t xml:space="preserve">In relation to the consistency of the two tests, Judge Tindal expressed the opinion that the differences between the statutory test and the common law test were overstated </w:t>
      </w:r>
      <w:r w:rsidR="007419DE">
        <w:rPr>
          <w:rFonts w:ascii="Arial Narrow" w:hAnsi="Arial Narrow"/>
          <w:sz w:val="28"/>
          <w:szCs w:val="28"/>
        </w:rPr>
        <w:t xml:space="preserve">by Nicholas Strauss QC in </w:t>
      </w:r>
      <w:r w:rsidR="007419DE">
        <w:rPr>
          <w:rFonts w:ascii="Arial Narrow" w:hAnsi="Arial Narrow"/>
          <w:b/>
          <w:bCs/>
          <w:sz w:val="28"/>
          <w:szCs w:val="28"/>
          <w:u w:val="single"/>
        </w:rPr>
        <w:t>Re Walker</w:t>
      </w:r>
      <w:r w:rsidR="007419DE">
        <w:rPr>
          <w:rFonts w:ascii="Arial Narrow" w:hAnsi="Arial Narrow"/>
          <w:sz w:val="28"/>
          <w:szCs w:val="28"/>
        </w:rPr>
        <w:t>.</w:t>
      </w:r>
      <w:r w:rsidR="00694DD8">
        <w:rPr>
          <w:rFonts w:ascii="Arial Narrow" w:hAnsi="Arial Narrow"/>
          <w:sz w:val="28"/>
          <w:szCs w:val="28"/>
        </w:rPr>
        <w:t xml:space="preserve">  On presumption of capacity, for instance</w:t>
      </w:r>
      <w:r w:rsidR="00F36F94">
        <w:rPr>
          <w:rFonts w:ascii="Arial Narrow" w:hAnsi="Arial Narrow"/>
          <w:sz w:val="28"/>
          <w:szCs w:val="28"/>
        </w:rPr>
        <w:t xml:space="preserve">, under </w:t>
      </w:r>
      <w:r w:rsidR="00F36F94">
        <w:rPr>
          <w:rFonts w:ascii="Arial Narrow" w:hAnsi="Arial Narrow"/>
          <w:b/>
          <w:bCs/>
          <w:sz w:val="28"/>
          <w:szCs w:val="28"/>
        </w:rPr>
        <w:t>s.1(2)</w:t>
      </w:r>
      <w:r w:rsidR="00F36F94">
        <w:rPr>
          <w:rFonts w:ascii="Arial Narrow" w:hAnsi="Arial Narrow"/>
          <w:sz w:val="28"/>
          <w:szCs w:val="28"/>
        </w:rPr>
        <w:t xml:space="preserve"> </w:t>
      </w:r>
      <w:r w:rsidR="00F36F94">
        <w:rPr>
          <w:rFonts w:ascii="Arial Narrow" w:hAnsi="Arial Narrow"/>
          <w:b/>
          <w:bCs/>
          <w:sz w:val="28"/>
          <w:szCs w:val="28"/>
        </w:rPr>
        <w:t>Mental Capacity Act 2005</w:t>
      </w:r>
      <w:r w:rsidR="00F36F94">
        <w:rPr>
          <w:rFonts w:ascii="Arial Narrow" w:hAnsi="Arial Narrow"/>
          <w:sz w:val="28"/>
          <w:szCs w:val="28"/>
        </w:rPr>
        <w:t xml:space="preserve">, capacity is presumed </w:t>
      </w:r>
      <w:r w:rsidR="00E14BA1">
        <w:rPr>
          <w:rFonts w:ascii="Arial Narrow" w:hAnsi="Arial Narrow"/>
          <w:sz w:val="28"/>
          <w:szCs w:val="28"/>
        </w:rPr>
        <w:t xml:space="preserve">but the evidential burden shifts if </w:t>
      </w:r>
      <w:r w:rsidR="00D302C2">
        <w:rPr>
          <w:rFonts w:ascii="Arial Narrow" w:hAnsi="Arial Narrow"/>
          <w:sz w:val="28"/>
          <w:szCs w:val="28"/>
        </w:rPr>
        <w:t xml:space="preserve">a prima facie case of lack of capacity is made out.  </w:t>
      </w:r>
      <w:r w:rsidR="00B14777">
        <w:rPr>
          <w:rFonts w:ascii="Arial Narrow" w:hAnsi="Arial Narrow"/>
          <w:sz w:val="28"/>
          <w:szCs w:val="28"/>
        </w:rPr>
        <w:t>Under the common law, a</w:t>
      </w:r>
      <w:r w:rsidR="00E75062">
        <w:rPr>
          <w:rFonts w:ascii="Arial Narrow" w:hAnsi="Arial Narrow"/>
          <w:sz w:val="28"/>
          <w:szCs w:val="28"/>
        </w:rPr>
        <w:t xml:space="preserve">lthough the burden of proof is on the </w:t>
      </w:r>
      <w:proofErr w:type="spellStart"/>
      <w:r w:rsidR="00E75062">
        <w:rPr>
          <w:rFonts w:ascii="Arial Narrow" w:hAnsi="Arial Narrow"/>
          <w:sz w:val="28"/>
          <w:szCs w:val="28"/>
        </w:rPr>
        <w:t>propounder</w:t>
      </w:r>
      <w:proofErr w:type="spellEnd"/>
      <w:r w:rsidR="00E75062">
        <w:rPr>
          <w:rFonts w:ascii="Arial Narrow" w:hAnsi="Arial Narrow"/>
          <w:sz w:val="28"/>
          <w:szCs w:val="28"/>
        </w:rPr>
        <w:t>, a</w:t>
      </w:r>
      <w:r w:rsidR="00B14777">
        <w:rPr>
          <w:rFonts w:ascii="Arial Narrow" w:hAnsi="Arial Narrow"/>
          <w:sz w:val="28"/>
          <w:szCs w:val="28"/>
        </w:rPr>
        <w:t xml:space="preserve"> testator is presumed to have t</w:t>
      </w:r>
      <w:r w:rsidR="007F3E8F">
        <w:rPr>
          <w:rFonts w:ascii="Arial Narrow" w:hAnsi="Arial Narrow"/>
          <w:sz w:val="28"/>
          <w:szCs w:val="28"/>
        </w:rPr>
        <w:t>estamentary capacity if a will is rational</w:t>
      </w:r>
      <w:r w:rsidR="00650291">
        <w:rPr>
          <w:rFonts w:ascii="Arial Narrow" w:hAnsi="Arial Narrow"/>
          <w:sz w:val="28"/>
          <w:szCs w:val="28"/>
        </w:rPr>
        <w:t xml:space="preserve"> and coherent on its face and duly executed; the evidential burden </w:t>
      </w:r>
      <w:r w:rsidR="009661D6">
        <w:rPr>
          <w:rFonts w:ascii="Arial Narrow" w:hAnsi="Arial Narrow"/>
          <w:sz w:val="28"/>
          <w:szCs w:val="28"/>
        </w:rPr>
        <w:t xml:space="preserve">then shifts back if </w:t>
      </w:r>
      <w:r w:rsidR="00124EAF">
        <w:rPr>
          <w:rFonts w:ascii="Arial Narrow" w:hAnsi="Arial Narrow"/>
          <w:sz w:val="28"/>
          <w:szCs w:val="28"/>
        </w:rPr>
        <w:t>a real doubt as to capacity is raised.</w:t>
      </w:r>
      <w:r w:rsidR="006C40BE">
        <w:rPr>
          <w:rFonts w:ascii="Arial Narrow" w:hAnsi="Arial Narrow"/>
          <w:sz w:val="28"/>
          <w:szCs w:val="28"/>
        </w:rPr>
        <w:t xml:space="preserve">  As such, in Judge Tin</w:t>
      </w:r>
      <w:r w:rsidR="003E3282">
        <w:rPr>
          <w:rFonts w:ascii="Arial Narrow" w:hAnsi="Arial Narrow"/>
          <w:sz w:val="28"/>
          <w:szCs w:val="28"/>
        </w:rPr>
        <w:t>d</w:t>
      </w:r>
      <w:r w:rsidR="006C40BE">
        <w:rPr>
          <w:rFonts w:ascii="Arial Narrow" w:hAnsi="Arial Narrow"/>
          <w:sz w:val="28"/>
          <w:szCs w:val="28"/>
        </w:rPr>
        <w:t>al’s view, there is much similarity.  H</w:t>
      </w:r>
      <w:r w:rsidR="0018595B">
        <w:rPr>
          <w:rFonts w:ascii="Arial Narrow" w:hAnsi="Arial Narrow"/>
          <w:sz w:val="28"/>
          <w:szCs w:val="28"/>
        </w:rPr>
        <w:t xml:space="preserve">e went on to suggest that </w:t>
      </w:r>
      <w:r w:rsidR="009200AC">
        <w:rPr>
          <w:rFonts w:ascii="Arial Narrow" w:hAnsi="Arial Narrow"/>
          <w:sz w:val="28"/>
          <w:szCs w:val="28"/>
        </w:rPr>
        <w:t xml:space="preserve">the requirements of </w:t>
      </w:r>
      <w:r w:rsidR="009200AC">
        <w:rPr>
          <w:rFonts w:ascii="Arial Narrow" w:hAnsi="Arial Narrow"/>
          <w:b/>
          <w:bCs/>
          <w:sz w:val="28"/>
          <w:szCs w:val="28"/>
        </w:rPr>
        <w:t xml:space="preserve">s.3(1) </w:t>
      </w:r>
      <w:r w:rsidR="009200AC">
        <w:rPr>
          <w:rFonts w:ascii="Arial Narrow" w:hAnsi="Arial Narrow"/>
          <w:sz w:val="28"/>
          <w:szCs w:val="28"/>
        </w:rPr>
        <w:t>(</w:t>
      </w:r>
      <w:r w:rsidR="00380646">
        <w:rPr>
          <w:rFonts w:ascii="Arial Narrow" w:hAnsi="Arial Narrow"/>
          <w:sz w:val="28"/>
          <w:szCs w:val="28"/>
        </w:rPr>
        <w:t xml:space="preserve">which requires a person to be able to understand all the information relevant to the decision) and </w:t>
      </w:r>
      <w:r w:rsidR="00380646">
        <w:rPr>
          <w:rFonts w:ascii="Arial Narrow" w:hAnsi="Arial Narrow"/>
          <w:b/>
          <w:bCs/>
          <w:sz w:val="28"/>
          <w:szCs w:val="28"/>
        </w:rPr>
        <w:t>s.3(4)</w:t>
      </w:r>
      <w:r w:rsidR="00180A4F">
        <w:rPr>
          <w:rFonts w:ascii="Arial Narrow" w:hAnsi="Arial Narrow"/>
          <w:sz w:val="28"/>
          <w:szCs w:val="28"/>
        </w:rPr>
        <w:t xml:space="preserve"> (which requires a person </w:t>
      </w:r>
      <w:r w:rsidR="00A47C16">
        <w:rPr>
          <w:rFonts w:ascii="Arial Narrow" w:hAnsi="Arial Narrow"/>
          <w:sz w:val="28"/>
          <w:szCs w:val="28"/>
        </w:rPr>
        <w:t xml:space="preserve">to understand information </w:t>
      </w:r>
      <w:r w:rsidR="00D627E2">
        <w:rPr>
          <w:rFonts w:ascii="Arial Narrow" w:hAnsi="Arial Narrow"/>
          <w:sz w:val="28"/>
          <w:szCs w:val="28"/>
        </w:rPr>
        <w:t xml:space="preserve">about the reasonably foreseeable consequences of the decision), </w:t>
      </w:r>
      <w:r w:rsidR="00850744">
        <w:rPr>
          <w:rFonts w:ascii="Arial Narrow" w:hAnsi="Arial Narrow"/>
          <w:sz w:val="28"/>
          <w:szCs w:val="28"/>
        </w:rPr>
        <w:t xml:space="preserve">are also not inconsistent with the common law test when considered in the context of testamentary capacity.  </w:t>
      </w:r>
      <w:r w:rsidR="00870109">
        <w:rPr>
          <w:rFonts w:ascii="Arial Narrow" w:hAnsi="Arial Narrow"/>
          <w:sz w:val="28"/>
          <w:szCs w:val="28"/>
        </w:rPr>
        <w:t xml:space="preserve">This means that in relation to making a ‘unilateral’ will, </w:t>
      </w:r>
      <w:r w:rsidR="00AB09C6">
        <w:rPr>
          <w:rFonts w:ascii="Arial Narrow" w:hAnsi="Arial Narrow"/>
          <w:b/>
          <w:bCs/>
          <w:sz w:val="28"/>
          <w:szCs w:val="28"/>
        </w:rPr>
        <w:t>s.3(4)</w:t>
      </w:r>
      <w:r w:rsidR="00AB09C6">
        <w:rPr>
          <w:rFonts w:ascii="Arial Narrow" w:hAnsi="Arial Narrow"/>
          <w:sz w:val="28"/>
          <w:szCs w:val="28"/>
        </w:rPr>
        <w:t xml:space="preserve"> would not require consideration of the consequences for others</w:t>
      </w:r>
      <w:r w:rsidR="00C63940">
        <w:rPr>
          <w:rFonts w:ascii="Arial Narrow" w:hAnsi="Arial Narrow"/>
          <w:sz w:val="28"/>
          <w:szCs w:val="28"/>
        </w:rPr>
        <w:t xml:space="preserve"> and would recognise the testamentary freedom of a testator to make a will that </w:t>
      </w:r>
      <w:r w:rsidR="00C94407">
        <w:rPr>
          <w:rFonts w:ascii="Arial Narrow" w:hAnsi="Arial Narrow"/>
          <w:sz w:val="28"/>
          <w:szCs w:val="28"/>
        </w:rPr>
        <w:t>might be</w:t>
      </w:r>
      <w:r w:rsidR="00C63940">
        <w:rPr>
          <w:rFonts w:ascii="Arial Narrow" w:hAnsi="Arial Narrow"/>
          <w:sz w:val="28"/>
          <w:szCs w:val="28"/>
        </w:rPr>
        <w:t xml:space="preserve"> hu</w:t>
      </w:r>
      <w:r w:rsidR="00636858">
        <w:rPr>
          <w:rFonts w:ascii="Arial Narrow" w:hAnsi="Arial Narrow"/>
          <w:sz w:val="28"/>
          <w:szCs w:val="28"/>
        </w:rPr>
        <w:t>r</w:t>
      </w:r>
      <w:r w:rsidR="00C63940">
        <w:rPr>
          <w:rFonts w:ascii="Arial Narrow" w:hAnsi="Arial Narrow"/>
          <w:sz w:val="28"/>
          <w:szCs w:val="28"/>
        </w:rPr>
        <w:t>tful, unfair or capri</w:t>
      </w:r>
      <w:r w:rsidR="00636858">
        <w:rPr>
          <w:rFonts w:ascii="Arial Narrow" w:hAnsi="Arial Narrow"/>
          <w:sz w:val="28"/>
          <w:szCs w:val="28"/>
        </w:rPr>
        <w:t>ci</w:t>
      </w:r>
      <w:r w:rsidR="00C63940">
        <w:rPr>
          <w:rFonts w:ascii="Arial Narrow" w:hAnsi="Arial Narrow"/>
          <w:sz w:val="28"/>
          <w:szCs w:val="28"/>
        </w:rPr>
        <w:t>ous</w:t>
      </w:r>
      <w:r w:rsidR="00636858">
        <w:rPr>
          <w:rFonts w:ascii="Arial Narrow" w:hAnsi="Arial Narrow"/>
          <w:sz w:val="28"/>
          <w:szCs w:val="28"/>
        </w:rPr>
        <w:t>.</w:t>
      </w:r>
      <w:r w:rsidR="00EB268F">
        <w:rPr>
          <w:rFonts w:ascii="Arial Narrow" w:hAnsi="Arial Narrow"/>
          <w:sz w:val="28"/>
          <w:szCs w:val="28"/>
        </w:rPr>
        <w:t xml:space="preserve">  Further, Judge Tindal suggested that in the context of making a will, </w:t>
      </w:r>
      <w:r w:rsidR="00866D14">
        <w:rPr>
          <w:rFonts w:ascii="Arial Narrow" w:hAnsi="Arial Narrow"/>
          <w:sz w:val="28"/>
          <w:szCs w:val="28"/>
        </w:rPr>
        <w:t xml:space="preserve">all the relevant information </w:t>
      </w:r>
      <w:r w:rsidR="008D35CE">
        <w:rPr>
          <w:rFonts w:ascii="Arial Narrow" w:hAnsi="Arial Narrow"/>
          <w:sz w:val="28"/>
          <w:szCs w:val="28"/>
        </w:rPr>
        <w:t xml:space="preserve">for the purposes of </w:t>
      </w:r>
      <w:r w:rsidR="008D35CE">
        <w:rPr>
          <w:rFonts w:ascii="Arial Narrow" w:hAnsi="Arial Narrow"/>
          <w:b/>
          <w:bCs/>
          <w:sz w:val="28"/>
          <w:szCs w:val="28"/>
        </w:rPr>
        <w:t>s.3(1)</w:t>
      </w:r>
      <w:r w:rsidR="008D35CE">
        <w:rPr>
          <w:rFonts w:ascii="Arial Narrow" w:hAnsi="Arial Narrow"/>
          <w:sz w:val="28"/>
          <w:szCs w:val="28"/>
        </w:rPr>
        <w:t xml:space="preserve"> would be the information</w:t>
      </w:r>
      <w:r w:rsidR="009C734F">
        <w:rPr>
          <w:rFonts w:ascii="Arial Narrow" w:hAnsi="Arial Narrow"/>
          <w:sz w:val="28"/>
          <w:szCs w:val="28"/>
        </w:rPr>
        <w:t xml:space="preserve"> considered relevant for the purposes of the common law test.</w:t>
      </w:r>
    </w:p>
    <w:p w14:paraId="1B61F0CC" w14:textId="3BB3F5ED" w:rsidR="009C734F" w:rsidRDefault="009C734F" w:rsidP="009C734F">
      <w:pPr>
        <w:pStyle w:val="ListParagraph"/>
        <w:tabs>
          <w:tab w:val="left" w:pos="567"/>
        </w:tabs>
        <w:spacing w:line="360" w:lineRule="auto"/>
        <w:ind w:left="567"/>
        <w:jc w:val="both"/>
        <w:rPr>
          <w:rFonts w:ascii="Arial Narrow" w:hAnsi="Arial Narrow"/>
          <w:sz w:val="28"/>
          <w:szCs w:val="28"/>
        </w:rPr>
      </w:pPr>
    </w:p>
    <w:p w14:paraId="6808FBE2" w14:textId="4A3827C1" w:rsidR="009C734F" w:rsidRDefault="009C734F" w:rsidP="00894D2E">
      <w:pPr>
        <w:pStyle w:val="ListParagraph"/>
        <w:numPr>
          <w:ilvl w:val="0"/>
          <w:numId w:val="4"/>
        </w:numPr>
        <w:tabs>
          <w:tab w:val="left" w:pos="567"/>
        </w:tabs>
        <w:spacing w:line="360" w:lineRule="auto"/>
        <w:ind w:left="567" w:hanging="567"/>
        <w:jc w:val="both"/>
        <w:rPr>
          <w:rFonts w:ascii="Arial Narrow" w:hAnsi="Arial Narrow"/>
          <w:sz w:val="28"/>
          <w:szCs w:val="28"/>
        </w:rPr>
      </w:pPr>
      <w:r>
        <w:rPr>
          <w:rFonts w:ascii="Arial Narrow" w:hAnsi="Arial Narrow"/>
          <w:sz w:val="28"/>
          <w:szCs w:val="28"/>
        </w:rPr>
        <w:t xml:space="preserve">That led on to Judge Tindal </w:t>
      </w:r>
      <w:r w:rsidR="00757F53">
        <w:rPr>
          <w:rFonts w:ascii="Arial Narrow" w:hAnsi="Arial Narrow"/>
          <w:sz w:val="28"/>
          <w:szCs w:val="28"/>
        </w:rPr>
        <w:t xml:space="preserve">reconciling the traditional four </w:t>
      </w:r>
      <w:r w:rsidR="00623D3F">
        <w:rPr>
          <w:rFonts w:ascii="Arial Narrow" w:hAnsi="Arial Narrow"/>
          <w:sz w:val="28"/>
          <w:szCs w:val="28"/>
        </w:rPr>
        <w:t>limb</w:t>
      </w:r>
      <w:r w:rsidR="00757F53">
        <w:rPr>
          <w:rFonts w:ascii="Arial Narrow" w:hAnsi="Arial Narrow"/>
          <w:sz w:val="28"/>
          <w:szCs w:val="28"/>
        </w:rPr>
        <w:t xml:space="preserve"> test for testamentary capacity in </w:t>
      </w:r>
      <w:r w:rsidR="00757F53">
        <w:rPr>
          <w:rFonts w:ascii="Arial Narrow" w:hAnsi="Arial Narrow"/>
          <w:b/>
          <w:bCs/>
          <w:sz w:val="28"/>
          <w:szCs w:val="28"/>
          <w:u w:val="single"/>
        </w:rPr>
        <w:t>Banks v Goodfellow</w:t>
      </w:r>
      <w:r w:rsidR="00757F53">
        <w:rPr>
          <w:rFonts w:ascii="Arial Narrow" w:hAnsi="Arial Narrow"/>
          <w:sz w:val="28"/>
          <w:szCs w:val="28"/>
        </w:rPr>
        <w:t xml:space="preserve"> with </w:t>
      </w:r>
      <w:r w:rsidR="00757F53">
        <w:rPr>
          <w:rFonts w:ascii="Arial Narrow" w:hAnsi="Arial Narrow"/>
          <w:b/>
          <w:bCs/>
          <w:sz w:val="28"/>
          <w:szCs w:val="28"/>
        </w:rPr>
        <w:t>ss.2-3 Mental Capacity Act 2005</w:t>
      </w:r>
      <w:r w:rsidR="00757F53">
        <w:rPr>
          <w:rFonts w:ascii="Arial Narrow" w:hAnsi="Arial Narrow"/>
          <w:sz w:val="28"/>
          <w:szCs w:val="28"/>
        </w:rPr>
        <w:t xml:space="preserve">.  </w:t>
      </w:r>
      <w:r w:rsidR="00785F2D">
        <w:rPr>
          <w:rFonts w:ascii="Arial Narrow" w:hAnsi="Arial Narrow"/>
          <w:sz w:val="28"/>
          <w:szCs w:val="28"/>
        </w:rPr>
        <w:t>He suggested there was a straightforward way of reconciling them</w:t>
      </w:r>
      <w:r w:rsidR="00FE2FDF">
        <w:rPr>
          <w:rFonts w:ascii="Arial Narrow" w:hAnsi="Arial Narrow"/>
          <w:sz w:val="28"/>
          <w:szCs w:val="28"/>
        </w:rPr>
        <w:t>, so that the statutory provisions accommodated the common law test.</w:t>
      </w:r>
      <w:r w:rsidR="00356290">
        <w:rPr>
          <w:rFonts w:ascii="Arial Narrow" w:hAnsi="Arial Narrow"/>
          <w:sz w:val="28"/>
          <w:szCs w:val="28"/>
        </w:rPr>
        <w:t xml:space="preserve">  He said, </w:t>
      </w:r>
      <w:r w:rsidR="00356290">
        <w:rPr>
          <w:rFonts w:ascii="Arial Narrow" w:hAnsi="Arial Narrow"/>
          <w:sz w:val="28"/>
          <w:szCs w:val="28"/>
        </w:rPr>
        <w:lastRenderedPageBreak/>
        <w:t xml:space="preserve">for instance, that where the Court of Protection </w:t>
      </w:r>
      <w:r w:rsidR="005B4F04">
        <w:rPr>
          <w:rFonts w:ascii="Arial Narrow" w:hAnsi="Arial Narrow"/>
          <w:sz w:val="28"/>
          <w:szCs w:val="28"/>
        </w:rPr>
        <w:t xml:space="preserve">was required to assess issues of testamentary capacity under the </w:t>
      </w:r>
      <w:r w:rsidR="005B4F04">
        <w:rPr>
          <w:rFonts w:ascii="Arial Narrow" w:hAnsi="Arial Narrow"/>
          <w:b/>
          <w:bCs/>
          <w:sz w:val="28"/>
          <w:szCs w:val="28"/>
        </w:rPr>
        <w:t xml:space="preserve">Mental Capacity Act 2005 </w:t>
      </w:r>
      <w:r w:rsidR="005B4F04">
        <w:rPr>
          <w:rFonts w:ascii="Arial Narrow" w:hAnsi="Arial Narrow"/>
          <w:sz w:val="28"/>
          <w:szCs w:val="28"/>
        </w:rPr>
        <w:t xml:space="preserve">then the relevant information </w:t>
      </w:r>
      <w:r w:rsidR="00DD56D6">
        <w:rPr>
          <w:rFonts w:ascii="Arial Narrow" w:hAnsi="Arial Narrow"/>
          <w:sz w:val="28"/>
          <w:szCs w:val="28"/>
        </w:rPr>
        <w:t xml:space="preserve">under </w:t>
      </w:r>
      <w:r w:rsidR="00DD56D6">
        <w:rPr>
          <w:rFonts w:ascii="Arial Narrow" w:hAnsi="Arial Narrow"/>
          <w:b/>
          <w:bCs/>
          <w:sz w:val="28"/>
          <w:szCs w:val="28"/>
        </w:rPr>
        <w:t>s.3</w:t>
      </w:r>
      <w:r w:rsidR="00DD56D6">
        <w:rPr>
          <w:rFonts w:ascii="Arial Narrow" w:hAnsi="Arial Narrow"/>
          <w:sz w:val="28"/>
          <w:szCs w:val="28"/>
        </w:rPr>
        <w:t xml:space="preserve"> would be the same as the first three limbs of </w:t>
      </w:r>
      <w:r w:rsidR="00395D53" w:rsidRPr="00395D53">
        <w:rPr>
          <w:rFonts w:ascii="Arial Narrow" w:hAnsi="Arial Narrow"/>
          <w:b/>
          <w:bCs/>
          <w:sz w:val="28"/>
          <w:szCs w:val="28"/>
          <w:u w:val="single"/>
        </w:rPr>
        <w:t>Banks v Goodfellow</w:t>
      </w:r>
      <w:r w:rsidR="00395D53">
        <w:rPr>
          <w:rFonts w:ascii="Arial Narrow" w:hAnsi="Arial Narrow"/>
          <w:sz w:val="28"/>
          <w:szCs w:val="28"/>
        </w:rPr>
        <w:t xml:space="preserve">, namely did the person </w:t>
      </w:r>
      <w:r w:rsidR="001D487B">
        <w:rPr>
          <w:rFonts w:ascii="Arial Narrow" w:hAnsi="Arial Narrow"/>
          <w:sz w:val="28"/>
          <w:szCs w:val="28"/>
        </w:rPr>
        <w:t xml:space="preserve">understand the nature of making a will and its effects, </w:t>
      </w:r>
      <w:r w:rsidR="00562D3F">
        <w:rPr>
          <w:rFonts w:ascii="Arial Narrow" w:hAnsi="Arial Narrow"/>
          <w:sz w:val="28"/>
          <w:szCs w:val="28"/>
        </w:rPr>
        <w:t xml:space="preserve">did he </w:t>
      </w:r>
      <w:r w:rsidR="00ED1AEA">
        <w:rPr>
          <w:rFonts w:ascii="Arial Narrow" w:hAnsi="Arial Narrow"/>
          <w:sz w:val="28"/>
          <w:szCs w:val="28"/>
        </w:rPr>
        <w:t>understand and retain the extent of his property</w:t>
      </w:r>
      <w:r w:rsidR="009F0E0E">
        <w:rPr>
          <w:rFonts w:ascii="Arial Narrow" w:hAnsi="Arial Narrow"/>
          <w:sz w:val="28"/>
          <w:szCs w:val="28"/>
        </w:rPr>
        <w:t xml:space="preserve">, and </w:t>
      </w:r>
      <w:r w:rsidR="00B3676B">
        <w:rPr>
          <w:rFonts w:ascii="Arial Narrow" w:hAnsi="Arial Narrow"/>
          <w:sz w:val="28"/>
          <w:szCs w:val="28"/>
        </w:rPr>
        <w:t xml:space="preserve">was he able to weigh the nature and extent of the claims upon him, </w:t>
      </w:r>
      <w:r w:rsidR="007062C8">
        <w:rPr>
          <w:rFonts w:ascii="Arial Narrow" w:hAnsi="Arial Narrow"/>
          <w:sz w:val="28"/>
          <w:szCs w:val="28"/>
        </w:rPr>
        <w:t>both those he is including in the will and those he is excluding from it.</w:t>
      </w:r>
    </w:p>
    <w:p w14:paraId="114B9EAA" w14:textId="77777777" w:rsidR="00975542" w:rsidRPr="00975542" w:rsidRDefault="00975542" w:rsidP="00975542">
      <w:pPr>
        <w:pStyle w:val="ListParagraph"/>
        <w:rPr>
          <w:rFonts w:ascii="Arial Narrow" w:hAnsi="Arial Narrow"/>
          <w:sz w:val="28"/>
          <w:szCs w:val="28"/>
        </w:rPr>
      </w:pPr>
    </w:p>
    <w:p w14:paraId="6E0001A2" w14:textId="69C8DA3A" w:rsidR="00975542" w:rsidRDefault="00975542" w:rsidP="00894D2E">
      <w:pPr>
        <w:pStyle w:val="ListParagraph"/>
        <w:numPr>
          <w:ilvl w:val="0"/>
          <w:numId w:val="4"/>
        </w:numPr>
        <w:tabs>
          <w:tab w:val="left" w:pos="567"/>
        </w:tabs>
        <w:spacing w:line="360" w:lineRule="auto"/>
        <w:ind w:left="567" w:hanging="567"/>
        <w:jc w:val="both"/>
        <w:rPr>
          <w:rFonts w:ascii="Arial Narrow" w:hAnsi="Arial Narrow"/>
          <w:sz w:val="28"/>
          <w:szCs w:val="28"/>
        </w:rPr>
      </w:pPr>
      <w:r>
        <w:rPr>
          <w:rFonts w:ascii="Arial Narrow" w:hAnsi="Arial Narrow"/>
          <w:sz w:val="28"/>
          <w:szCs w:val="28"/>
        </w:rPr>
        <w:t xml:space="preserve">In relation to the fourth limb of </w:t>
      </w:r>
      <w:r>
        <w:rPr>
          <w:rFonts w:ascii="Arial Narrow" w:hAnsi="Arial Narrow"/>
          <w:b/>
          <w:bCs/>
          <w:sz w:val="28"/>
          <w:szCs w:val="28"/>
          <w:u w:val="single"/>
        </w:rPr>
        <w:t>Banks v Goodfellow</w:t>
      </w:r>
      <w:r>
        <w:rPr>
          <w:rFonts w:ascii="Arial Narrow" w:hAnsi="Arial Narrow"/>
          <w:sz w:val="28"/>
          <w:szCs w:val="28"/>
        </w:rPr>
        <w:t xml:space="preserve"> (that </w:t>
      </w:r>
      <w:r w:rsidR="00434043">
        <w:rPr>
          <w:rFonts w:ascii="Arial Narrow" w:hAnsi="Arial Narrow"/>
          <w:sz w:val="28"/>
          <w:szCs w:val="28"/>
        </w:rPr>
        <w:t xml:space="preserve">no disorder of the mind or insane delusion shall </w:t>
      </w:r>
      <w:r w:rsidR="00C05EE6">
        <w:rPr>
          <w:rFonts w:ascii="Arial Narrow" w:hAnsi="Arial Narrow"/>
          <w:sz w:val="28"/>
          <w:szCs w:val="28"/>
        </w:rPr>
        <w:t xml:space="preserve">bring about a disposal of it, which if his mind had been sound, </w:t>
      </w:r>
      <w:r w:rsidR="002A492F">
        <w:rPr>
          <w:rFonts w:ascii="Arial Narrow" w:hAnsi="Arial Narrow"/>
          <w:sz w:val="28"/>
          <w:szCs w:val="28"/>
        </w:rPr>
        <w:t xml:space="preserve">he would not have made), Judge Tindal accepted that the language is different from </w:t>
      </w:r>
      <w:r w:rsidR="002A492F">
        <w:rPr>
          <w:rFonts w:ascii="Arial Narrow" w:hAnsi="Arial Narrow"/>
          <w:b/>
          <w:bCs/>
          <w:sz w:val="28"/>
          <w:szCs w:val="28"/>
        </w:rPr>
        <w:t>s.2</w:t>
      </w:r>
      <w:r w:rsidR="002A492F">
        <w:rPr>
          <w:rFonts w:ascii="Arial Narrow" w:hAnsi="Arial Narrow"/>
          <w:sz w:val="28"/>
          <w:szCs w:val="28"/>
        </w:rPr>
        <w:t xml:space="preserve"> and</w:t>
      </w:r>
      <w:r w:rsidR="00D174DC">
        <w:rPr>
          <w:rFonts w:ascii="Arial Narrow" w:hAnsi="Arial Narrow"/>
          <w:sz w:val="28"/>
          <w:szCs w:val="28"/>
        </w:rPr>
        <w:t xml:space="preserve"> </w:t>
      </w:r>
      <w:r w:rsidR="002A492F">
        <w:rPr>
          <w:rFonts w:ascii="Arial Narrow" w:hAnsi="Arial Narrow"/>
          <w:sz w:val="28"/>
          <w:szCs w:val="28"/>
        </w:rPr>
        <w:t xml:space="preserve">that </w:t>
      </w:r>
      <w:r w:rsidR="002A492F">
        <w:rPr>
          <w:rFonts w:ascii="Arial Narrow" w:hAnsi="Arial Narrow"/>
          <w:b/>
          <w:bCs/>
          <w:sz w:val="28"/>
          <w:szCs w:val="28"/>
        </w:rPr>
        <w:t xml:space="preserve">s.2 </w:t>
      </w:r>
      <w:r w:rsidR="002A492F">
        <w:rPr>
          <w:rFonts w:ascii="Arial Narrow" w:hAnsi="Arial Narrow"/>
          <w:sz w:val="28"/>
          <w:szCs w:val="28"/>
        </w:rPr>
        <w:t xml:space="preserve">has no requirement </w:t>
      </w:r>
      <w:r w:rsidR="00B35895">
        <w:rPr>
          <w:rFonts w:ascii="Arial Narrow" w:hAnsi="Arial Narrow"/>
          <w:sz w:val="28"/>
          <w:szCs w:val="28"/>
        </w:rPr>
        <w:t xml:space="preserve">for the counterfactual “but for” question, but he indicated that </w:t>
      </w:r>
      <w:r w:rsidR="00DB4923">
        <w:rPr>
          <w:rFonts w:ascii="Arial Narrow" w:hAnsi="Arial Narrow"/>
          <w:sz w:val="28"/>
          <w:szCs w:val="28"/>
        </w:rPr>
        <w:t xml:space="preserve">his view was that they could be </w:t>
      </w:r>
      <w:r w:rsidR="004A37C6">
        <w:rPr>
          <w:rFonts w:ascii="Arial Narrow" w:hAnsi="Arial Narrow"/>
          <w:sz w:val="28"/>
          <w:szCs w:val="28"/>
        </w:rPr>
        <w:t>read in a way that they broadly accommodated one another.</w:t>
      </w:r>
    </w:p>
    <w:p w14:paraId="310C769F" w14:textId="77777777" w:rsidR="000D4D25" w:rsidRPr="000D4D25" w:rsidRDefault="000D4D25" w:rsidP="000D4D25">
      <w:pPr>
        <w:pStyle w:val="ListParagraph"/>
        <w:rPr>
          <w:rFonts w:ascii="Arial Narrow" w:hAnsi="Arial Narrow"/>
          <w:sz w:val="28"/>
          <w:szCs w:val="28"/>
        </w:rPr>
      </w:pPr>
    </w:p>
    <w:p w14:paraId="3CEED274" w14:textId="1A9F89F7" w:rsidR="000D4D25" w:rsidRDefault="000D4D25" w:rsidP="00894D2E">
      <w:pPr>
        <w:pStyle w:val="ListParagraph"/>
        <w:numPr>
          <w:ilvl w:val="0"/>
          <w:numId w:val="4"/>
        </w:numPr>
        <w:tabs>
          <w:tab w:val="left" w:pos="567"/>
        </w:tabs>
        <w:spacing w:line="360" w:lineRule="auto"/>
        <w:ind w:left="567" w:hanging="567"/>
        <w:jc w:val="both"/>
        <w:rPr>
          <w:rFonts w:ascii="Arial Narrow" w:hAnsi="Arial Narrow"/>
          <w:sz w:val="28"/>
          <w:szCs w:val="28"/>
        </w:rPr>
      </w:pPr>
      <w:r>
        <w:rPr>
          <w:rFonts w:ascii="Arial Narrow" w:hAnsi="Arial Narrow"/>
          <w:sz w:val="28"/>
          <w:szCs w:val="28"/>
        </w:rPr>
        <w:t xml:space="preserve">That led to </w:t>
      </w:r>
      <w:r w:rsidR="00543624">
        <w:rPr>
          <w:rFonts w:ascii="Arial Narrow" w:hAnsi="Arial Narrow"/>
          <w:sz w:val="28"/>
          <w:szCs w:val="28"/>
        </w:rPr>
        <w:t xml:space="preserve">Judge Tindal’s final point, which was that the two tests should act as a cross-check.  That meant that for the Court of Protection, when considering </w:t>
      </w:r>
      <w:r w:rsidR="001D538C">
        <w:rPr>
          <w:rFonts w:ascii="Arial Narrow" w:hAnsi="Arial Narrow"/>
          <w:sz w:val="28"/>
          <w:szCs w:val="28"/>
        </w:rPr>
        <w:t xml:space="preserve">a person’s capacity under the </w:t>
      </w:r>
      <w:r w:rsidR="001D538C">
        <w:rPr>
          <w:rFonts w:ascii="Arial Narrow" w:hAnsi="Arial Narrow"/>
          <w:b/>
          <w:bCs/>
          <w:sz w:val="28"/>
          <w:szCs w:val="28"/>
        </w:rPr>
        <w:t>Mental Capacity Act 2005</w:t>
      </w:r>
      <w:r w:rsidR="001D538C">
        <w:rPr>
          <w:rFonts w:ascii="Arial Narrow" w:hAnsi="Arial Narrow"/>
          <w:sz w:val="28"/>
          <w:szCs w:val="28"/>
        </w:rPr>
        <w:t xml:space="preserve">, it should use </w:t>
      </w:r>
      <w:r w:rsidR="001D538C">
        <w:rPr>
          <w:rFonts w:ascii="Arial Narrow" w:hAnsi="Arial Narrow"/>
          <w:b/>
          <w:bCs/>
          <w:sz w:val="28"/>
          <w:szCs w:val="28"/>
          <w:u w:val="single"/>
        </w:rPr>
        <w:t>Banks v Goodfellow</w:t>
      </w:r>
      <w:r w:rsidR="001D538C">
        <w:rPr>
          <w:rFonts w:ascii="Arial Narrow" w:hAnsi="Arial Narrow"/>
          <w:b/>
          <w:bCs/>
          <w:sz w:val="28"/>
          <w:szCs w:val="28"/>
        </w:rPr>
        <w:t xml:space="preserve"> </w:t>
      </w:r>
      <w:r w:rsidR="001D538C">
        <w:rPr>
          <w:rFonts w:ascii="Arial Narrow" w:hAnsi="Arial Narrow"/>
          <w:sz w:val="28"/>
          <w:szCs w:val="28"/>
        </w:rPr>
        <w:t xml:space="preserve">to </w:t>
      </w:r>
      <w:r w:rsidR="007A41DF">
        <w:rPr>
          <w:rFonts w:ascii="Arial Narrow" w:hAnsi="Arial Narrow"/>
          <w:sz w:val="28"/>
          <w:szCs w:val="28"/>
        </w:rPr>
        <w:t xml:space="preserve">put ‘flesh on the bones’ in </w:t>
      </w:r>
      <w:r w:rsidR="007A41DF">
        <w:rPr>
          <w:rFonts w:ascii="Arial Narrow" w:hAnsi="Arial Narrow"/>
          <w:b/>
          <w:bCs/>
          <w:sz w:val="28"/>
          <w:szCs w:val="28"/>
        </w:rPr>
        <w:t>ss.2-3</w:t>
      </w:r>
      <w:r w:rsidR="007A41DF">
        <w:rPr>
          <w:rFonts w:ascii="Arial Narrow" w:hAnsi="Arial Narrow"/>
          <w:sz w:val="28"/>
          <w:szCs w:val="28"/>
        </w:rPr>
        <w:t xml:space="preserve"> </w:t>
      </w:r>
      <w:r w:rsidR="006C2161">
        <w:rPr>
          <w:rFonts w:ascii="Arial Narrow" w:hAnsi="Arial Narrow"/>
          <w:sz w:val="28"/>
          <w:szCs w:val="28"/>
        </w:rPr>
        <w:t xml:space="preserve">where the decision related to making a will </w:t>
      </w:r>
      <w:r w:rsidR="007A41DF">
        <w:rPr>
          <w:rFonts w:ascii="Arial Narrow" w:hAnsi="Arial Narrow"/>
          <w:sz w:val="28"/>
          <w:szCs w:val="28"/>
        </w:rPr>
        <w:t xml:space="preserve">and in a probate case, whilst the common law test in </w:t>
      </w:r>
      <w:r w:rsidR="007A41DF">
        <w:rPr>
          <w:rFonts w:ascii="Arial Narrow" w:hAnsi="Arial Narrow"/>
          <w:b/>
          <w:bCs/>
          <w:sz w:val="28"/>
          <w:szCs w:val="28"/>
          <w:u w:val="single"/>
        </w:rPr>
        <w:t>Banks v Goodfellow</w:t>
      </w:r>
      <w:r w:rsidR="007A41DF">
        <w:rPr>
          <w:rFonts w:ascii="Arial Narrow" w:hAnsi="Arial Narrow"/>
          <w:sz w:val="28"/>
          <w:szCs w:val="28"/>
        </w:rPr>
        <w:t xml:space="preserve"> was the test to be applied and had stood the test of time, </w:t>
      </w:r>
      <w:r w:rsidR="008C771E">
        <w:rPr>
          <w:rFonts w:ascii="Arial Narrow" w:hAnsi="Arial Narrow"/>
          <w:sz w:val="28"/>
          <w:szCs w:val="28"/>
        </w:rPr>
        <w:t xml:space="preserve">the </w:t>
      </w:r>
      <w:r w:rsidR="008C771E">
        <w:rPr>
          <w:rFonts w:ascii="Arial Narrow" w:hAnsi="Arial Narrow"/>
          <w:b/>
          <w:bCs/>
          <w:sz w:val="28"/>
          <w:szCs w:val="28"/>
        </w:rPr>
        <w:t>Mental Capacity Act 2005</w:t>
      </w:r>
      <w:r w:rsidR="008C771E">
        <w:rPr>
          <w:rFonts w:ascii="Arial Narrow" w:hAnsi="Arial Narrow"/>
          <w:sz w:val="28"/>
          <w:szCs w:val="28"/>
        </w:rPr>
        <w:t xml:space="preserve"> </w:t>
      </w:r>
      <w:r w:rsidR="00DF1CC4">
        <w:rPr>
          <w:rFonts w:ascii="Arial Narrow" w:hAnsi="Arial Narrow"/>
          <w:sz w:val="28"/>
          <w:szCs w:val="28"/>
        </w:rPr>
        <w:t xml:space="preserve">could be used </w:t>
      </w:r>
      <w:r w:rsidR="008C771E">
        <w:rPr>
          <w:rFonts w:ascii="Arial Narrow" w:hAnsi="Arial Narrow"/>
          <w:sz w:val="28"/>
          <w:szCs w:val="28"/>
        </w:rPr>
        <w:t>as a ‘cross-check’.  Judge Tindal opined that i</w:t>
      </w:r>
      <w:r w:rsidR="00FF0EF6">
        <w:rPr>
          <w:rFonts w:ascii="Arial Narrow" w:hAnsi="Arial Narrow"/>
          <w:sz w:val="28"/>
          <w:szCs w:val="28"/>
        </w:rPr>
        <w:t xml:space="preserve">f the cross-check </w:t>
      </w:r>
      <w:r w:rsidR="005B7D35">
        <w:rPr>
          <w:rFonts w:ascii="Arial Narrow" w:hAnsi="Arial Narrow"/>
          <w:sz w:val="28"/>
          <w:szCs w:val="28"/>
        </w:rPr>
        <w:t xml:space="preserve">suggested a different result, it did not trump the common law test but </w:t>
      </w:r>
      <w:r w:rsidR="00746DBF">
        <w:rPr>
          <w:rFonts w:ascii="Arial Narrow" w:hAnsi="Arial Narrow"/>
          <w:sz w:val="28"/>
          <w:szCs w:val="28"/>
        </w:rPr>
        <w:t>might suggest further consideration.</w:t>
      </w:r>
    </w:p>
    <w:p w14:paraId="020DCBD1" w14:textId="77777777" w:rsidR="00746DBF" w:rsidRPr="00746DBF" w:rsidRDefault="00746DBF" w:rsidP="00746DBF">
      <w:pPr>
        <w:pStyle w:val="ListParagraph"/>
        <w:rPr>
          <w:rFonts w:ascii="Arial Narrow" w:hAnsi="Arial Narrow"/>
          <w:sz w:val="28"/>
          <w:szCs w:val="28"/>
        </w:rPr>
      </w:pPr>
    </w:p>
    <w:p w14:paraId="18275ACF" w14:textId="46C31D66" w:rsidR="00A82A97" w:rsidRDefault="00814087" w:rsidP="00894D2E">
      <w:pPr>
        <w:pStyle w:val="ListParagraph"/>
        <w:numPr>
          <w:ilvl w:val="0"/>
          <w:numId w:val="4"/>
        </w:numPr>
        <w:tabs>
          <w:tab w:val="left" w:pos="567"/>
        </w:tabs>
        <w:spacing w:line="360" w:lineRule="auto"/>
        <w:ind w:left="567" w:hanging="567"/>
        <w:jc w:val="both"/>
        <w:rPr>
          <w:rFonts w:ascii="Arial Narrow" w:hAnsi="Arial Narrow"/>
          <w:sz w:val="28"/>
          <w:szCs w:val="28"/>
        </w:rPr>
      </w:pPr>
      <w:r>
        <w:rPr>
          <w:rFonts w:ascii="Arial Narrow" w:hAnsi="Arial Narrow"/>
          <w:sz w:val="28"/>
          <w:szCs w:val="28"/>
        </w:rPr>
        <w:t xml:space="preserve">It remains to be seen how much traction </w:t>
      </w:r>
      <w:r w:rsidR="00D17CFD">
        <w:rPr>
          <w:rFonts w:ascii="Arial Narrow" w:hAnsi="Arial Narrow"/>
          <w:sz w:val="28"/>
          <w:szCs w:val="28"/>
        </w:rPr>
        <w:t>the observations of Judge Tindal will gain.</w:t>
      </w:r>
      <w:r w:rsidR="00624C38">
        <w:rPr>
          <w:rFonts w:ascii="Arial Narrow" w:hAnsi="Arial Narrow"/>
          <w:sz w:val="28"/>
          <w:szCs w:val="28"/>
        </w:rPr>
        <w:t xml:space="preserve">  Many of his observations about trying to reconcile the two tests are </w:t>
      </w:r>
      <w:r w:rsidR="00067E39">
        <w:rPr>
          <w:rFonts w:ascii="Arial Narrow" w:hAnsi="Arial Narrow"/>
          <w:sz w:val="28"/>
          <w:szCs w:val="28"/>
        </w:rPr>
        <w:t xml:space="preserve">sensible though </w:t>
      </w:r>
      <w:r w:rsidR="00587E51">
        <w:rPr>
          <w:rFonts w:ascii="Arial Narrow" w:hAnsi="Arial Narrow"/>
          <w:sz w:val="28"/>
          <w:szCs w:val="28"/>
        </w:rPr>
        <w:t xml:space="preserve">strictly </w:t>
      </w:r>
      <w:r w:rsidR="00067E39">
        <w:rPr>
          <w:rFonts w:ascii="Arial Narrow" w:hAnsi="Arial Narrow"/>
          <w:sz w:val="28"/>
          <w:szCs w:val="28"/>
        </w:rPr>
        <w:t>obiter</w:t>
      </w:r>
      <w:r w:rsidR="00587E51">
        <w:rPr>
          <w:rFonts w:ascii="Arial Narrow" w:hAnsi="Arial Narrow"/>
          <w:sz w:val="28"/>
          <w:szCs w:val="28"/>
        </w:rPr>
        <w:t>.</w:t>
      </w:r>
      <w:r w:rsidR="00403C01">
        <w:rPr>
          <w:rFonts w:ascii="Arial Narrow" w:hAnsi="Arial Narrow"/>
          <w:sz w:val="28"/>
          <w:szCs w:val="28"/>
        </w:rPr>
        <w:t xml:space="preserve">  His decision on the facts in the case required </w:t>
      </w:r>
      <w:r w:rsidR="00403C01">
        <w:rPr>
          <w:rFonts w:ascii="Arial Narrow" w:hAnsi="Arial Narrow"/>
          <w:sz w:val="28"/>
          <w:szCs w:val="28"/>
        </w:rPr>
        <w:lastRenderedPageBreak/>
        <w:t xml:space="preserve">him to apply the common law test, which he did, and which he had found </w:t>
      </w:r>
      <w:r w:rsidR="000B7D15">
        <w:rPr>
          <w:rFonts w:ascii="Arial Narrow" w:hAnsi="Arial Narrow"/>
          <w:sz w:val="28"/>
          <w:szCs w:val="28"/>
        </w:rPr>
        <w:t xml:space="preserve">was the correct test to apply in a probate case, </w:t>
      </w:r>
      <w:r w:rsidR="00CF145C">
        <w:rPr>
          <w:rFonts w:ascii="Arial Narrow" w:hAnsi="Arial Narrow"/>
          <w:sz w:val="28"/>
          <w:szCs w:val="28"/>
        </w:rPr>
        <w:t xml:space="preserve">and he then used a consideration of the provisions of </w:t>
      </w:r>
      <w:r w:rsidR="00CF145C">
        <w:rPr>
          <w:rFonts w:ascii="Arial Narrow" w:hAnsi="Arial Narrow"/>
          <w:b/>
          <w:bCs/>
          <w:sz w:val="28"/>
          <w:szCs w:val="28"/>
        </w:rPr>
        <w:t>ss.2-3 Mental Capacity Act 2005</w:t>
      </w:r>
      <w:r w:rsidR="00CF145C">
        <w:rPr>
          <w:rFonts w:ascii="Arial Narrow" w:hAnsi="Arial Narrow"/>
          <w:sz w:val="28"/>
          <w:szCs w:val="28"/>
        </w:rPr>
        <w:t xml:space="preserve"> a</w:t>
      </w:r>
      <w:r w:rsidR="00403C01">
        <w:rPr>
          <w:rFonts w:ascii="Arial Narrow" w:hAnsi="Arial Narrow"/>
          <w:sz w:val="28"/>
          <w:szCs w:val="28"/>
        </w:rPr>
        <w:t>s</w:t>
      </w:r>
      <w:r w:rsidR="00CF145C">
        <w:rPr>
          <w:rFonts w:ascii="Arial Narrow" w:hAnsi="Arial Narrow"/>
          <w:sz w:val="28"/>
          <w:szCs w:val="28"/>
        </w:rPr>
        <w:t xml:space="preserve"> a cross-check, </w:t>
      </w:r>
      <w:r w:rsidR="00241802">
        <w:rPr>
          <w:rFonts w:ascii="Arial Narrow" w:hAnsi="Arial Narrow"/>
          <w:sz w:val="28"/>
          <w:szCs w:val="28"/>
        </w:rPr>
        <w:t>which</w:t>
      </w:r>
      <w:r w:rsidR="004B6D21">
        <w:rPr>
          <w:rFonts w:ascii="Arial Narrow" w:hAnsi="Arial Narrow"/>
          <w:sz w:val="28"/>
          <w:szCs w:val="28"/>
        </w:rPr>
        <w:t xml:space="preserve"> in that case </w:t>
      </w:r>
      <w:r w:rsidR="00241802">
        <w:rPr>
          <w:rFonts w:ascii="Arial Narrow" w:hAnsi="Arial Narrow"/>
          <w:sz w:val="28"/>
          <w:szCs w:val="28"/>
        </w:rPr>
        <w:t xml:space="preserve">led to </w:t>
      </w:r>
      <w:proofErr w:type="gramStart"/>
      <w:r w:rsidR="00241802">
        <w:rPr>
          <w:rFonts w:ascii="Arial Narrow" w:hAnsi="Arial Narrow"/>
          <w:sz w:val="28"/>
          <w:szCs w:val="28"/>
        </w:rPr>
        <w:t>exactly the same</w:t>
      </w:r>
      <w:proofErr w:type="gramEnd"/>
      <w:r w:rsidR="00241802">
        <w:rPr>
          <w:rFonts w:ascii="Arial Narrow" w:hAnsi="Arial Narrow"/>
          <w:sz w:val="28"/>
          <w:szCs w:val="28"/>
        </w:rPr>
        <w:t xml:space="preserve"> conclusion.</w:t>
      </w:r>
      <w:r w:rsidR="009958DF">
        <w:rPr>
          <w:rFonts w:ascii="Arial Narrow" w:hAnsi="Arial Narrow"/>
          <w:sz w:val="28"/>
          <w:szCs w:val="28"/>
        </w:rPr>
        <w:t xml:space="preserve">  We may, though, be in the territory again where </w:t>
      </w:r>
      <w:r w:rsidR="00184595">
        <w:rPr>
          <w:rFonts w:ascii="Arial Narrow" w:hAnsi="Arial Narrow"/>
          <w:sz w:val="28"/>
          <w:szCs w:val="28"/>
        </w:rPr>
        <w:t>at some point some guidance from the Court of Appeal</w:t>
      </w:r>
      <w:r w:rsidR="00A82A97">
        <w:rPr>
          <w:rFonts w:ascii="Arial Narrow" w:hAnsi="Arial Narrow"/>
          <w:sz w:val="28"/>
          <w:szCs w:val="28"/>
        </w:rPr>
        <w:t xml:space="preserve"> is required.</w:t>
      </w:r>
    </w:p>
    <w:p w14:paraId="38D37AA3" w14:textId="77777777" w:rsidR="00A82A97" w:rsidRPr="00A82A97" w:rsidRDefault="00A82A97" w:rsidP="00A82A97">
      <w:pPr>
        <w:pStyle w:val="ListParagraph"/>
        <w:rPr>
          <w:rFonts w:ascii="Arial Narrow" w:hAnsi="Arial Narrow"/>
          <w:sz w:val="28"/>
          <w:szCs w:val="28"/>
        </w:rPr>
      </w:pPr>
    </w:p>
    <w:p w14:paraId="6A600E34" w14:textId="5B3E8797" w:rsidR="00746DBF" w:rsidRPr="00A82A97" w:rsidRDefault="005071F0" w:rsidP="00A82A97">
      <w:pPr>
        <w:tabs>
          <w:tab w:val="left" w:pos="567"/>
        </w:tabs>
        <w:spacing w:line="360" w:lineRule="auto"/>
        <w:jc w:val="both"/>
        <w:rPr>
          <w:rFonts w:ascii="Arial Narrow" w:hAnsi="Arial Narrow"/>
          <w:sz w:val="28"/>
          <w:szCs w:val="28"/>
        </w:rPr>
      </w:pPr>
      <w:r>
        <w:rPr>
          <w:rFonts w:ascii="Arial Narrow" w:hAnsi="Arial Narrow"/>
          <w:b/>
          <w:bCs/>
          <w:sz w:val="28"/>
          <w:szCs w:val="28"/>
          <w:u w:val="single"/>
        </w:rPr>
        <w:t>Leonard v Leonard</w:t>
      </w:r>
      <w:r w:rsidR="0004729C">
        <w:rPr>
          <w:rFonts w:ascii="Arial Narrow" w:hAnsi="Arial Narrow"/>
          <w:b/>
          <w:bCs/>
          <w:sz w:val="28"/>
          <w:szCs w:val="28"/>
        </w:rPr>
        <w:t xml:space="preserve"> [2024] </w:t>
      </w:r>
      <w:r w:rsidR="0028680C">
        <w:rPr>
          <w:rFonts w:ascii="Arial Narrow" w:hAnsi="Arial Narrow"/>
          <w:b/>
          <w:bCs/>
          <w:sz w:val="28"/>
          <w:szCs w:val="28"/>
        </w:rPr>
        <w:t>EWHC 979 (Ch)</w:t>
      </w:r>
      <w:r w:rsidR="00403C01" w:rsidRPr="00A82A97">
        <w:rPr>
          <w:rFonts w:ascii="Arial Narrow" w:hAnsi="Arial Narrow"/>
          <w:sz w:val="28"/>
          <w:szCs w:val="28"/>
        </w:rPr>
        <w:t xml:space="preserve"> </w:t>
      </w:r>
    </w:p>
    <w:p w14:paraId="5AF6ACEB" w14:textId="32486163" w:rsidR="00202DE4" w:rsidRDefault="0085586B" w:rsidP="00894D2E">
      <w:pPr>
        <w:pStyle w:val="ListParagraph"/>
        <w:numPr>
          <w:ilvl w:val="0"/>
          <w:numId w:val="4"/>
        </w:numPr>
        <w:tabs>
          <w:tab w:val="left" w:pos="567"/>
        </w:tabs>
        <w:spacing w:line="360" w:lineRule="auto"/>
        <w:ind w:left="567" w:hanging="567"/>
        <w:jc w:val="both"/>
        <w:rPr>
          <w:rFonts w:ascii="Arial Narrow" w:hAnsi="Arial Narrow"/>
          <w:sz w:val="28"/>
          <w:szCs w:val="28"/>
        </w:rPr>
      </w:pPr>
      <w:r>
        <w:rPr>
          <w:rFonts w:ascii="Arial Narrow" w:hAnsi="Arial Narrow"/>
          <w:sz w:val="28"/>
          <w:szCs w:val="28"/>
        </w:rPr>
        <w:t xml:space="preserve">This was a case involving what appears to have been a bitter and hard-fought </w:t>
      </w:r>
      <w:r w:rsidR="00AB2AB8">
        <w:rPr>
          <w:rFonts w:ascii="Arial Narrow" w:hAnsi="Arial Narrow"/>
          <w:sz w:val="28"/>
          <w:szCs w:val="28"/>
        </w:rPr>
        <w:t xml:space="preserve">probate dispute between on the one hand the testator’s children of his first marriage (the claimants) and </w:t>
      </w:r>
      <w:r w:rsidR="006B1B9A">
        <w:rPr>
          <w:rFonts w:ascii="Arial Narrow" w:hAnsi="Arial Narrow"/>
          <w:sz w:val="28"/>
          <w:szCs w:val="28"/>
        </w:rPr>
        <w:t xml:space="preserve">on the other hand the testator’s second wife </w:t>
      </w:r>
      <w:r w:rsidR="00513F14">
        <w:rPr>
          <w:rFonts w:ascii="Arial Narrow" w:hAnsi="Arial Narrow"/>
          <w:sz w:val="28"/>
          <w:szCs w:val="28"/>
        </w:rPr>
        <w:t>and her family</w:t>
      </w:r>
      <w:r w:rsidR="005869E9">
        <w:rPr>
          <w:rFonts w:ascii="Arial Narrow" w:hAnsi="Arial Narrow"/>
          <w:sz w:val="28"/>
          <w:szCs w:val="28"/>
        </w:rPr>
        <w:t xml:space="preserve"> (the defendants).</w:t>
      </w:r>
      <w:r w:rsidR="004027DC">
        <w:rPr>
          <w:rFonts w:ascii="Arial Narrow" w:hAnsi="Arial Narrow"/>
          <w:sz w:val="28"/>
          <w:szCs w:val="28"/>
        </w:rPr>
        <w:t xml:space="preserve">  I</w:t>
      </w:r>
      <w:r w:rsidR="007F2DFE">
        <w:rPr>
          <w:rFonts w:ascii="Arial Narrow" w:hAnsi="Arial Narrow"/>
          <w:sz w:val="28"/>
          <w:szCs w:val="28"/>
        </w:rPr>
        <w:t>n</w:t>
      </w:r>
      <w:r w:rsidR="004027DC">
        <w:rPr>
          <w:rFonts w:ascii="Arial Narrow" w:hAnsi="Arial Narrow"/>
          <w:sz w:val="28"/>
          <w:szCs w:val="28"/>
        </w:rPr>
        <w:t xml:space="preserve"> tha</w:t>
      </w:r>
      <w:r w:rsidR="007F2DFE">
        <w:rPr>
          <w:rFonts w:ascii="Arial Narrow" w:hAnsi="Arial Narrow"/>
          <w:sz w:val="28"/>
          <w:szCs w:val="28"/>
        </w:rPr>
        <w:t xml:space="preserve">t respect, it was a </w:t>
      </w:r>
      <w:proofErr w:type="gramStart"/>
      <w:r w:rsidR="007F2DFE">
        <w:rPr>
          <w:rFonts w:ascii="Arial Narrow" w:hAnsi="Arial Narrow"/>
          <w:sz w:val="28"/>
          <w:szCs w:val="28"/>
        </w:rPr>
        <w:t>fairly common</w:t>
      </w:r>
      <w:proofErr w:type="gramEnd"/>
      <w:r w:rsidR="007F2DFE">
        <w:rPr>
          <w:rFonts w:ascii="Arial Narrow" w:hAnsi="Arial Narrow"/>
          <w:sz w:val="28"/>
          <w:szCs w:val="28"/>
        </w:rPr>
        <w:t xml:space="preserve"> probate claim.</w:t>
      </w:r>
      <w:r w:rsidR="005869E9">
        <w:rPr>
          <w:rFonts w:ascii="Arial Narrow" w:hAnsi="Arial Narrow"/>
          <w:sz w:val="28"/>
          <w:szCs w:val="28"/>
        </w:rPr>
        <w:t xml:space="preserve">  The claimants were seeking to </w:t>
      </w:r>
      <w:r w:rsidR="00EB0F6A">
        <w:rPr>
          <w:rFonts w:ascii="Arial Narrow" w:hAnsi="Arial Narrow"/>
          <w:sz w:val="28"/>
          <w:szCs w:val="28"/>
        </w:rPr>
        <w:t>propound a 2007 will in their favour and to propound against a 2015 will that purported to benefit the defendants.</w:t>
      </w:r>
      <w:r w:rsidR="00630F2E">
        <w:rPr>
          <w:rFonts w:ascii="Arial Narrow" w:hAnsi="Arial Narrow"/>
          <w:sz w:val="28"/>
          <w:szCs w:val="28"/>
        </w:rPr>
        <w:t xml:space="preserve">  In her main judgment, </w:t>
      </w:r>
      <w:r w:rsidR="003001FD">
        <w:rPr>
          <w:rFonts w:ascii="Arial Narrow" w:hAnsi="Arial Narrow"/>
          <w:sz w:val="28"/>
          <w:szCs w:val="28"/>
        </w:rPr>
        <w:t>Joanne Smith J found that the 2015 will</w:t>
      </w:r>
      <w:r w:rsidR="00AA1BF9">
        <w:rPr>
          <w:rFonts w:ascii="Arial Narrow" w:hAnsi="Arial Narrow"/>
          <w:sz w:val="28"/>
          <w:szCs w:val="28"/>
        </w:rPr>
        <w:t xml:space="preserve"> was invalid for lack of testamentary capacity and knowledge and approval on the part of the testator.</w:t>
      </w:r>
    </w:p>
    <w:p w14:paraId="143F490D" w14:textId="5AE2304B" w:rsidR="00202DE4" w:rsidRDefault="00202DE4" w:rsidP="00202DE4">
      <w:pPr>
        <w:pStyle w:val="ListParagraph"/>
        <w:tabs>
          <w:tab w:val="left" w:pos="567"/>
        </w:tabs>
        <w:spacing w:line="360" w:lineRule="auto"/>
        <w:ind w:left="567"/>
        <w:jc w:val="both"/>
        <w:rPr>
          <w:rFonts w:ascii="Arial Narrow" w:hAnsi="Arial Narrow"/>
          <w:sz w:val="28"/>
          <w:szCs w:val="28"/>
        </w:rPr>
      </w:pPr>
    </w:p>
    <w:p w14:paraId="17D3C7B8" w14:textId="77777777" w:rsidR="00951A35" w:rsidRDefault="00185C9E" w:rsidP="00894D2E">
      <w:pPr>
        <w:pStyle w:val="ListParagraph"/>
        <w:numPr>
          <w:ilvl w:val="0"/>
          <w:numId w:val="4"/>
        </w:numPr>
        <w:tabs>
          <w:tab w:val="left" w:pos="567"/>
        </w:tabs>
        <w:spacing w:line="360" w:lineRule="auto"/>
        <w:ind w:left="567" w:hanging="567"/>
        <w:jc w:val="both"/>
        <w:rPr>
          <w:rFonts w:ascii="Arial Narrow" w:hAnsi="Arial Narrow"/>
          <w:sz w:val="28"/>
          <w:szCs w:val="28"/>
        </w:rPr>
      </w:pPr>
      <w:r>
        <w:rPr>
          <w:rFonts w:ascii="Arial Narrow" w:hAnsi="Arial Narrow"/>
          <w:sz w:val="28"/>
          <w:szCs w:val="28"/>
        </w:rPr>
        <w:t>A separately reported j</w:t>
      </w:r>
      <w:r w:rsidR="00226A5C">
        <w:rPr>
          <w:rFonts w:ascii="Arial Narrow" w:hAnsi="Arial Narrow"/>
          <w:sz w:val="28"/>
          <w:szCs w:val="28"/>
        </w:rPr>
        <w:t xml:space="preserve">udgment </w:t>
      </w:r>
      <w:r w:rsidR="007B330C">
        <w:rPr>
          <w:rFonts w:ascii="Arial Narrow" w:hAnsi="Arial Narrow"/>
          <w:sz w:val="28"/>
          <w:szCs w:val="28"/>
        </w:rPr>
        <w:t xml:space="preserve">of Joanne Smith J handed down in April 2024 is of interest in relation to costs, and the potential </w:t>
      </w:r>
      <w:r w:rsidR="00887B2B">
        <w:rPr>
          <w:rFonts w:ascii="Arial Narrow" w:hAnsi="Arial Narrow"/>
          <w:sz w:val="28"/>
          <w:szCs w:val="28"/>
        </w:rPr>
        <w:t xml:space="preserve">interrelation between a Part 36 offer in a contentious probate claim and the potential exceptions to the normal rule </w:t>
      </w:r>
      <w:r w:rsidR="00222969">
        <w:rPr>
          <w:rFonts w:ascii="Arial Narrow" w:hAnsi="Arial Narrow"/>
          <w:sz w:val="28"/>
          <w:szCs w:val="28"/>
        </w:rPr>
        <w:t>as to costs that might arise in a probate claim.</w:t>
      </w:r>
      <w:r w:rsidR="00427405">
        <w:rPr>
          <w:rFonts w:ascii="Arial Narrow" w:hAnsi="Arial Narrow"/>
          <w:sz w:val="28"/>
          <w:szCs w:val="28"/>
        </w:rPr>
        <w:t xml:space="preserve">  The judgment contains </w:t>
      </w:r>
      <w:r w:rsidR="00B3032F">
        <w:rPr>
          <w:rFonts w:ascii="Arial Narrow" w:hAnsi="Arial Narrow"/>
          <w:sz w:val="28"/>
          <w:szCs w:val="28"/>
        </w:rPr>
        <w:t>a useful summary of the applicable principles.</w:t>
      </w:r>
    </w:p>
    <w:p w14:paraId="32A1A6C0" w14:textId="77777777" w:rsidR="00951A35" w:rsidRPr="00951A35" w:rsidRDefault="00951A35" w:rsidP="00951A35">
      <w:pPr>
        <w:pStyle w:val="ListParagraph"/>
        <w:rPr>
          <w:rFonts w:ascii="Arial Narrow" w:hAnsi="Arial Narrow"/>
          <w:sz w:val="28"/>
          <w:szCs w:val="28"/>
        </w:rPr>
      </w:pPr>
    </w:p>
    <w:p w14:paraId="55DAEA27" w14:textId="7A7A74B9" w:rsidR="003F1497" w:rsidRDefault="00951A35" w:rsidP="00894D2E">
      <w:pPr>
        <w:pStyle w:val="ListParagraph"/>
        <w:numPr>
          <w:ilvl w:val="0"/>
          <w:numId w:val="4"/>
        </w:numPr>
        <w:tabs>
          <w:tab w:val="left" w:pos="567"/>
        </w:tabs>
        <w:spacing w:line="360" w:lineRule="auto"/>
        <w:ind w:left="567" w:hanging="567"/>
        <w:jc w:val="both"/>
        <w:rPr>
          <w:rFonts w:ascii="Arial Narrow" w:hAnsi="Arial Narrow"/>
          <w:sz w:val="28"/>
          <w:szCs w:val="28"/>
        </w:rPr>
      </w:pPr>
      <w:r>
        <w:rPr>
          <w:rFonts w:ascii="Arial Narrow" w:hAnsi="Arial Narrow"/>
          <w:sz w:val="28"/>
          <w:szCs w:val="28"/>
        </w:rPr>
        <w:t xml:space="preserve">In relation to the interaction </w:t>
      </w:r>
      <w:r w:rsidR="005D3E18">
        <w:rPr>
          <w:rFonts w:ascii="Arial Narrow" w:hAnsi="Arial Narrow"/>
          <w:sz w:val="28"/>
          <w:szCs w:val="28"/>
        </w:rPr>
        <w:t xml:space="preserve">between a </w:t>
      </w:r>
      <w:r w:rsidR="00E475A5">
        <w:rPr>
          <w:rFonts w:ascii="Arial Narrow" w:hAnsi="Arial Narrow"/>
          <w:sz w:val="28"/>
          <w:szCs w:val="28"/>
        </w:rPr>
        <w:t>P</w:t>
      </w:r>
      <w:r w:rsidR="005D3E18">
        <w:rPr>
          <w:rFonts w:ascii="Arial Narrow" w:hAnsi="Arial Narrow"/>
          <w:sz w:val="28"/>
          <w:szCs w:val="28"/>
        </w:rPr>
        <w:t xml:space="preserve">art 36 offer and the common law exceptions </w:t>
      </w:r>
      <w:r w:rsidR="005C7DFC">
        <w:rPr>
          <w:rFonts w:ascii="Arial Narrow" w:hAnsi="Arial Narrow"/>
          <w:sz w:val="28"/>
          <w:szCs w:val="28"/>
        </w:rPr>
        <w:t xml:space="preserve">that can apply in probate cases </w:t>
      </w:r>
      <w:r w:rsidR="005D3E18">
        <w:rPr>
          <w:rFonts w:ascii="Arial Narrow" w:hAnsi="Arial Narrow"/>
          <w:sz w:val="28"/>
          <w:szCs w:val="28"/>
        </w:rPr>
        <w:t>to the usual</w:t>
      </w:r>
      <w:r w:rsidR="005C7DFC">
        <w:rPr>
          <w:rFonts w:ascii="Arial Narrow" w:hAnsi="Arial Narrow"/>
          <w:sz w:val="28"/>
          <w:szCs w:val="28"/>
        </w:rPr>
        <w:t xml:space="preserve"> rule that costs follow the event,</w:t>
      </w:r>
      <w:r w:rsidR="00E475A5">
        <w:rPr>
          <w:rFonts w:ascii="Arial Narrow" w:hAnsi="Arial Narrow"/>
          <w:sz w:val="28"/>
          <w:szCs w:val="28"/>
        </w:rPr>
        <w:t xml:space="preserve"> </w:t>
      </w:r>
      <w:r w:rsidR="002A0A54">
        <w:rPr>
          <w:rFonts w:ascii="Arial Narrow" w:hAnsi="Arial Narrow"/>
          <w:sz w:val="28"/>
          <w:szCs w:val="28"/>
        </w:rPr>
        <w:t>this issue did not arise on the decision made by the judge</w:t>
      </w:r>
      <w:r w:rsidR="00106B34">
        <w:rPr>
          <w:rFonts w:ascii="Arial Narrow" w:hAnsi="Arial Narrow"/>
          <w:sz w:val="28"/>
          <w:szCs w:val="28"/>
        </w:rPr>
        <w:t xml:space="preserve"> in </w:t>
      </w:r>
      <w:r w:rsidR="009D3B85">
        <w:rPr>
          <w:rFonts w:ascii="Arial Narrow" w:hAnsi="Arial Narrow"/>
          <w:b/>
          <w:bCs/>
          <w:sz w:val="28"/>
          <w:szCs w:val="28"/>
          <w:u w:val="single"/>
        </w:rPr>
        <w:t>Leonard</w:t>
      </w:r>
      <w:r w:rsidR="009D3B85">
        <w:rPr>
          <w:rFonts w:ascii="Arial Narrow" w:hAnsi="Arial Narrow"/>
          <w:sz w:val="28"/>
          <w:szCs w:val="28"/>
        </w:rPr>
        <w:t xml:space="preserve"> as she reached the view that one of the exceptions did not apply and </w:t>
      </w:r>
      <w:r w:rsidR="009D3B85">
        <w:rPr>
          <w:rFonts w:ascii="Arial Narrow" w:hAnsi="Arial Narrow"/>
          <w:sz w:val="28"/>
          <w:szCs w:val="28"/>
        </w:rPr>
        <w:lastRenderedPageBreak/>
        <w:t xml:space="preserve">the other arose </w:t>
      </w:r>
      <w:r w:rsidR="008C1340">
        <w:rPr>
          <w:rFonts w:ascii="Arial Narrow" w:hAnsi="Arial Narrow"/>
          <w:sz w:val="28"/>
          <w:szCs w:val="28"/>
        </w:rPr>
        <w:t>for a period that ended some time before the Part 36 offer was made.</w:t>
      </w:r>
      <w:r w:rsidR="00795AE9">
        <w:rPr>
          <w:rFonts w:ascii="Arial Narrow" w:hAnsi="Arial Narrow"/>
          <w:sz w:val="28"/>
          <w:szCs w:val="28"/>
        </w:rPr>
        <w:t xml:space="preserve">  The judge indicated that it was common ground between the parties that the </w:t>
      </w:r>
      <w:r w:rsidR="00063752">
        <w:rPr>
          <w:rFonts w:ascii="Arial Narrow" w:hAnsi="Arial Narrow"/>
          <w:sz w:val="28"/>
          <w:szCs w:val="28"/>
        </w:rPr>
        <w:t xml:space="preserve">two probate exceptions cannot override the effects of </w:t>
      </w:r>
      <w:r w:rsidR="005A5B2A">
        <w:rPr>
          <w:rFonts w:ascii="Arial Narrow" w:hAnsi="Arial Narrow"/>
          <w:b/>
          <w:bCs/>
          <w:sz w:val="28"/>
          <w:szCs w:val="28"/>
        </w:rPr>
        <w:t>CPR 36.17(4)</w:t>
      </w:r>
      <w:r w:rsidR="005A5B2A">
        <w:rPr>
          <w:rFonts w:ascii="Arial Narrow" w:hAnsi="Arial Narrow"/>
          <w:sz w:val="28"/>
          <w:szCs w:val="28"/>
        </w:rPr>
        <w:t xml:space="preserve"> and that there was no attempt by the defendants to seek to argue that the exceptions should be relied on </w:t>
      </w:r>
      <w:r w:rsidR="000365FB">
        <w:rPr>
          <w:rFonts w:ascii="Arial Narrow" w:hAnsi="Arial Narrow"/>
          <w:sz w:val="28"/>
          <w:szCs w:val="28"/>
        </w:rPr>
        <w:t xml:space="preserve">to support an argument that the enhanced </w:t>
      </w:r>
      <w:r w:rsidR="005C4025">
        <w:rPr>
          <w:rFonts w:ascii="Arial Narrow" w:hAnsi="Arial Narrow"/>
          <w:sz w:val="28"/>
          <w:szCs w:val="28"/>
        </w:rPr>
        <w:t xml:space="preserve">consequences of </w:t>
      </w:r>
      <w:r w:rsidR="005C4025">
        <w:rPr>
          <w:rFonts w:ascii="Arial Narrow" w:hAnsi="Arial Narrow"/>
          <w:b/>
          <w:bCs/>
          <w:sz w:val="28"/>
          <w:szCs w:val="28"/>
        </w:rPr>
        <w:t>CPR 36.17(4)</w:t>
      </w:r>
      <w:r w:rsidR="005C4025">
        <w:rPr>
          <w:rFonts w:ascii="Arial Narrow" w:hAnsi="Arial Narrow"/>
          <w:sz w:val="28"/>
          <w:szCs w:val="28"/>
        </w:rPr>
        <w:t xml:space="preserve"> were unjust.</w:t>
      </w:r>
      <w:r w:rsidR="00B53C4E">
        <w:rPr>
          <w:rFonts w:ascii="Arial Narrow" w:hAnsi="Arial Narrow"/>
          <w:sz w:val="28"/>
          <w:szCs w:val="28"/>
        </w:rPr>
        <w:t xml:space="preserve">  She did, however, indicate that circumstances </w:t>
      </w:r>
      <w:r w:rsidR="00B779A4">
        <w:rPr>
          <w:rFonts w:ascii="Arial Narrow" w:hAnsi="Arial Narrow"/>
          <w:sz w:val="28"/>
          <w:szCs w:val="28"/>
        </w:rPr>
        <w:t xml:space="preserve">might arise where the facts relevant to the second exception might also be relevant to the Court’s consideration under </w:t>
      </w:r>
      <w:r w:rsidR="00B779A4">
        <w:rPr>
          <w:rFonts w:ascii="Arial Narrow" w:hAnsi="Arial Narrow"/>
          <w:b/>
          <w:bCs/>
          <w:sz w:val="28"/>
          <w:szCs w:val="28"/>
        </w:rPr>
        <w:t>CPR 36.17(5)</w:t>
      </w:r>
      <w:r w:rsidR="00DB4A30">
        <w:rPr>
          <w:rFonts w:ascii="Arial Narrow" w:hAnsi="Arial Narrow"/>
          <w:sz w:val="28"/>
          <w:szCs w:val="28"/>
        </w:rPr>
        <w:t xml:space="preserve"> of whether it would be unjust </w:t>
      </w:r>
      <w:r w:rsidR="00996A75">
        <w:rPr>
          <w:rFonts w:ascii="Arial Narrow" w:hAnsi="Arial Narrow"/>
          <w:sz w:val="28"/>
          <w:szCs w:val="28"/>
        </w:rPr>
        <w:t xml:space="preserve">to make an order under </w:t>
      </w:r>
      <w:r w:rsidR="00996A75">
        <w:rPr>
          <w:rFonts w:ascii="Arial Narrow" w:hAnsi="Arial Narrow"/>
          <w:b/>
          <w:bCs/>
          <w:sz w:val="28"/>
          <w:szCs w:val="28"/>
        </w:rPr>
        <w:t>CPR 36.17(4)</w:t>
      </w:r>
      <w:r w:rsidR="000367F5">
        <w:rPr>
          <w:rFonts w:ascii="Arial Narrow" w:hAnsi="Arial Narrow"/>
          <w:sz w:val="28"/>
          <w:szCs w:val="28"/>
        </w:rPr>
        <w:t>.</w:t>
      </w:r>
    </w:p>
    <w:p w14:paraId="549D3FD9" w14:textId="77777777" w:rsidR="000367F5" w:rsidRPr="000367F5" w:rsidRDefault="000367F5" w:rsidP="000367F5">
      <w:pPr>
        <w:pStyle w:val="ListParagraph"/>
        <w:rPr>
          <w:rFonts w:ascii="Arial Narrow" w:hAnsi="Arial Narrow"/>
          <w:sz w:val="28"/>
          <w:szCs w:val="28"/>
        </w:rPr>
      </w:pPr>
    </w:p>
    <w:p w14:paraId="1620DA97" w14:textId="77777777" w:rsidR="00F245C4" w:rsidRDefault="00AA5759" w:rsidP="00894D2E">
      <w:pPr>
        <w:pStyle w:val="ListParagraph"/>
        <w:numPr>
          <w:ilvl w:val="0"/>
          <w:numId w:val="4"/>
        </w:numPr>
        <w:tabs>
          <w:tab w:val="left" w:pos="567"/>
        </w:tabs>
        <w:spacing w:line="360" w:lineRule="auto"/>
        <w:ind w:left="567" w:hanging="567"/>
        <w:jc w:val="both"/>
        <w:rPr>
          <w:rFonts w:ascii="Arial Narrow" w:hAnsi="Arial Narrow"/>
          <w:sz w:val="28"/>
          <w:szCs w:val="28"/>
        </w:rPr>
      </w:pPr>
      <w:r>
        <w:rPr>
          <w:rFonts w:ascii="Arial Narrow" w:hAnsi="Arial Narrow"/>
          <w:sz w:val="28"/>
          <w:szCs w:val="28"/>
        </w:rPr>
        <w:t xml:space="preserve">Turning to the exceptions, </w:t>
      </w:r>
      <w:r w:rsidR="00282F9C">
        <w:rPr>
          <w:rFonts w:ascii="Arial Narrow" w:hAnsi="Arial Narrow"/>
          <w:sz w:val="28"/>
          <w:szCs w:val="28"/>
        </w:rPr>
        <w:t>the judge identified the two exceptions to the general rule as to costs in probate cases as being</w:t>
      </w:r>
      <w:r w:rsidR="00F245C4">
        <w:rPr>
          <w:rFonts w:ascii="Arial Narrow" w:hAnsi="Arial Narrow"/>
          <w:sz w:val="28"/>
          <w:szCs w:val="28"/>
        </w:rPr>
        <w:t>:</w:t>
      </w:r>
    </w:p>
    <w:p w14:paraId="2385871E" w14:textId="580DF184" w:rsidR="000367F5" w:rsidRPr="00F66FC2" w:rsidRDefault="00280EAC" w:rsidP="00F66FC2">
      <w:pPr>
        <w:pStyle w:val="ListParagraph"/>
        <w:numPr>
          <w:ilvl w:val="0"/>
          <w:numId w:val="9"/>
        </w:numPr>
        <w:tabs>
          <w:tab w:val="left" w:pos="567"/>
        </w:tabs>
        <w:spacing w:line="360" w:lineRule="auto"/>
        <w:jc w:val="both"/>
        <w:rPr>
          <w:rFonts w:ascii="Arial Narrow" w:hAnsi="Arial Narrow"/>
          <w:sz w:val="28"/>
          <w:szCs w:val="28"/>
        </w:rPr>
      </w:pPr>
      <w:r w:rsidRPr="00F66FC2">
        <w:rPr>
          <w:rFonts w:ascii="Arial Narrow" w:hAnsi="Arial Narrow"/>
          <w:sz w:val="28"/>
          <w:szCs w:val="28"/>
        </w:rPr>
        <w:t>whether the litigation was caused by the testator</w:t>
      </w:r>
      <w:r w:rsidR="00F245C4" w:rsidRPr="00F66FC2">
        <w:rPr>
          <w:rFonts w:ascii="Arial Narrow" w:hAnsi="Arial Narrow"/>
          <w:sz w:val="28"/>
          <w:szCs w:val="28"/>
        </w:rPr>
        <w:t xml:space="preserve"> or a beneficiary – if so,</w:t>
      </w:r>
      <w:r w:rsidR="00F66FC2" w:rsidRPr="00F66FC2">
        <w:rPr>
          <w:rFonts w:ascii="Arial Narrow" w:hAnsi="Arial Narrow"/>
          <w:sz w:val="28"/>
          <w:szCs w:val="28"/>
        </w:rPr>
        <w:t xml:space="preserve"> the court may order the unsuccessful party’s costs to be paid out of the estate; and</w:t>
      </w:r>
    </w:p>
    <w:p w14:paraId="7AFE0690" w14:textId="47F3D306" w:rsidR="00F66FC2" w:rsidRPr="00F66FC2" w:rsidRDefault="00E8343D" w:rsidP="00F66FC2">
      <w:pPr>
        <w:pStyle w:val="ListParagraph"/>
        <w:numPr>
          <w:ilvl w:val="0"/>
          <w:numId w:val="9"/>
        </w:numPr>
        <w:tabs>
          <w:tab w:val="left" w:pos="567"/>
        </w:tabs>
        <w:spacing w:line="360" w:lineRule="auto"/>
        <w:jc w:val="both"/>
        <w:rPr>
          <w:rFonts w:ascii="Arial Narrow" w:hAnsi="Arial Narrow"/>
          <w:sz w:val="28"/>
          <w:szCs w:val="28"/>
        </w:rPr>
      </w:pPr>
      <w:r>
        <w:rPr>
          <w:rFonts w:ascii="Arial Narrow" w:hAnsi="Arial Narrow"/>
          <w:sz w:val="28"/>
          <w:szCs w:val="28"/>
        </w:rPr>
        <w:t xml:space="preserve">whether the circumstances, including the knowledge and means of knowledge of the opposing party, </w:t>
      </w:r>
      <w:r w:rsidR="001B40E8">
        <w:rPr>
          <w:rFonts w:ascii="Arial Narrow" w:hAnsi="Arial Narrow"/>
          <w:sz w:val="28"/>
          <w:szCs w:val="28"/>
        </w:rPr>
        <w:t xml:space="preserve">led reasonably to an investigation of the matter – if so, the court may make </w:t>
      </w:r>
      <w:r w:rsidR="00622D64">
        <w:rPr>
          <w:rFonts w:ascii="Arial Narrow" w:hAnsi="Arial Narrow"/>
          <w:sz w:val="28"/>
          <w:szCs w:val="28"/>
        </w:rPr>
        <w:t>no order as to costs.</w:t>
      </w:r>
    </w:p>
    <w:p w14:paraId="4A55C77D" w14:textId="77777777" w:rsidR="003F1497" w:rsidRPr="003F1497" w:rsidRDefault="003F1497" w:rsidP="003F1497">
      <w:pPr>
        <w:pStyle w:val="ListParagraph"/>
        <w:rPr>
          <w:rFonts w:ascii="Arial Narrow" w:hAnsi="Arial Narrow"/>
          <w:sz w:val="28"/>
          <w:szCs w:val="28"/>
        </w:rPr>
      </w:pPr>
    </w:p>
    <w:p w14:paraId="6E0BFF34" w14:textId="77777777" w:rsidR="0078007F" w:rsidRDefault="00F334C8" w:rsidP="003F1497">
      <w:pPr>
        <w:pStyle w:val="ListParagraph"/>
        <w:numPr>
          <w:ilvl w:val="0"/>
          <w:numId w:val="4"/>
        </w:numPr>
        <w:tabs>
          <w:tab w:val="left" w:pos="567"/>
        </w:tabs>
        <w:spacing w:line="360" w:lineRule="auto"/>
        <w:ind w:left="567" w:hanging="567"/>
        <w:jc w:val="both"/>
        <w:rPr>
          <w:rFonts w:ascii="Arial Narrow" w:hAnsi="Arial Narrow"/>
          <w:sz w:val="28"/>
          <w:szCs w:val="28"/>
        </w:rPr>
      </w:pPr>
      <w:r>
        <w:rPr>
          <w:rFonts w:ascii="Arial Narrow" w:hAnsi="Arial Narrow"/>
          <w:sz w:val="28"/>
          <w:szCs w:val="28"/>
        </w:rPr>
        <w:t xml:space="preserve">In paragraph 14 of her judgment, Joanne Smith J set out a helpful summary of the </w:t>
      </w:r>
      <w:r w:rsidR="00A508BF">
        <w:rPr>
          <w:rFonts w:ascii="Arial Narrow" w:hAnsi="Arial Narrow"/>
          <w:sz w:val="28"/>
          <w:szCs w:val="28"/>
        </w:rPr>
        <w:t xml:space="preserve">rationale for, and </w:t>
      </w:r>
      <w:r w:rsidR="0078007F">
        <w:rPr>
          <w:rFonts w:ascii="Arial Narrow" w:hAnsi="Arial Narrow"/>
          <w:sz w:val="28"/>
          <w:szCs w:val="28"/>
        </w:rPr>
        <w:t>general approach to be taken to the exceptions:</w:t>
      </w:r>
    </w:p>
    <w:p w14:paraId="2A4E3EC2" w14:textId="39F64440" w:rsidR="0078007F" w:rsidRDefault="00110766" w:rsidP="0078007F">
      <w:pPr>
        <w:pStyle w:val="ListParagraph"/>
        <w:numPr>
          <w:ilvl w:val="0"/>
          <w:numId w:val="10"/>
        </w:numPr>
        <w:tabs>
          <w:tab w:val="left" w:pos="567"/>
        </w:tabs>
        <w:spacing w:line="360" w:lineRule="auto"/>
        <w:jc w:val="both"/>
        <w:rPr>
          <w:rFonts w:ascii="Arial Narrow" w:hAnsi="Arial Narrow"/>
          <w:sz w:val="28"/>
          <w:szCs w:val="28"/>
        </w:rPr>
      </w:pPr>
      <w:r>
        <w:rPr>
          <w:rFonts w:ascii="Arial Narrow" w:hAnsi="Arial Narrow"/>
          <w:sz w:val="28"/>
          <w:szCs w:val="28"/>
        </w:rPr>
        <w:t>T</w:t>
      </w:r>
      <w:r w:rsidR="00910408">
        <w:rPr>
          <w:rFonts w:ascii="Arial Narrow" w:hAnsi="Arial Narrow"/>
          <w:sz w:val="28"/>
          <w:szCs w:val="28"/>
        </w:rPr>
        <w:t>he exceptions</w:t>
      </w:r>
      <w:r>
        <w:rPr>
          <w:rFonts w:ascii="Arial Narrow" w:hAnsi="Arial Narrow"/>
          <w:sz w:val="28"/>
          <w:szCs w:val="28"/>
        </w:rPr>
        <w:t xml:space="preserve"> were to strike a balance between two principles, namely that parties should not be tempted into fruitless litigation </w:t>
      </w:r>
      <w:r w:rsidR="00DD23C7">
        <w:rPr>
          <w:rFonts w:ascii="Arial Narrow" w:hAnsi="Arial Narrow"/>
          <w:sz w:val="28"/>
          <w:szCs w:val="28"/>
        </w:rPr>
        <w:t xml:space="preserve">in the knowledge that their costs would be defrayed by others and </w:t>
      </w:r>
      <w:r w:rsidR="00671384">
        <w:rPr>
          <w:rFonts w:ascii="Arial Narrow" w:hAnsi="Arial Narrow"/>
          <w:sz w:val="28"/>
          <w:szCs w:val="28"/>
        </w:rPr>
        <w:t>doubtful wills should not pass easily into proof</w:t>
      </w:r>
      <w:r w:rsidR="00036A4D">
        <w:rPr>
          <w:rFonts w:ascii="Arial Narrow" w:hAnsi="Arial Narrow"/>
          <w:sz w:val="28"/>
          <w:szCs w:val="28"/>
        </w:rPr>
        <w:t xml:space="preserve"> by reason of the costs of opposing them.</w:t>
      </w:r>
    </w:p>
    <w:p w14:paraId="54AF5EFC" w14:textId="1608A9F7" w:rsidR="00036A4D" w:rsidRDefault="00036A4D" w:rsidP="0078007F">
      <w:pPr>
        <w:pStyle w:val="ListParagraph"/>
        <w:numPr>
          <w:ilvl w:val="0"/>
          <w:numId w:val="10"/>
        </w:numPr>
        <w:tabs>
          <w:tab w:val="left" w:pos="567"/>
        </w:tabs>
        <w:spacing w:line="360" w:lineRule="auto"/>
        <w:jc w:val="both"/>
        <w:rPr>
          <w:rFonts w:ascii="Arial Narrow" w:hAnsi="Arial Narrow"/>
          <w:sz w:val="28"/>
          <w:szCs w:val="28"/>
        </w:rPr>
      </w:pPr>
      <w:r>
        <w:rPr>
          <w:rFonts w:ascii="Arial Narrow" w:hAnsi="Arial Narrow"/>
          <w:sz w:val="28"/>
          <w:szCs w:val="28"/>
        </w:rPr>
        <w:lastRenderedPageBreak/>
        <w:t xml:space="preserve">The exercise of the Court’s discretion on costs is governed by the </w:t>
      </w:r>
      <w:r>
        <w:rPr>
          <w:rFonts w:ascii="Arial Narrow" w:hAnsi="Arial Narrow"/>
          <w:b/>
          <w:bCs/>
          <w:sz w:val="28"/>
          <w:szCs w:val="28"/>
        </w:rPr>
        <w:t>CPR</w:t>
      </w:r>
      <w:r>
        <w:rPr>
          <w:rFonts w:ascii="Arial Narrow" w:hAnsi="Arial Narrow"/>
          <w:sz w:val="28"/>
          <w:szCs w:val="28"/>
        </w:rPr>
        <w:t>, but</w:t>
      </w:r>
      <w:r w:rsidR="009A6CC2">
        <w:rPr>
          <w:rFonts w:ascii="Arial Narrow" w:hAnsi="Arial Narrow"/>
          <w:sz w:val="28"/>
          <w:szCs w:val="28"/>
        </w:rPr>
        <w:t xml:space="preserve"> the considerations of p</w:t>
      </w:r>
      <w:r w:rsidR="00B13FD9">
        <w:rPr>
          <w:rFonts w:ascii="Arial Narrow" w:hAnsi="Arial Narrow"/>
          <w:sz w:val="28"/>
          <w:szCs w:val="28"/>
        </w:rPr>
        <w:t>olicy</w:t>
      </w:r>
      <w:r w:rsidR="009A6CC2">
        <w:rPr>
          <w:rFonts w:ascii="Arial Narrow" w:hAnsi="Arial Narrow"/>
          <w:sz w:val="28"/>
          <w:szCs w:val="28"/>
        </w:rPr>
        <w:t xml:space="preserve"> and fairness</w:t>
      </w:r>
      <w:r w:rsidR="00B13FD9">
        <w:rPr>
          <w:rFonts w:ascii="Arial Narrow" w:hAnsi="Arial Narrow"/>
          <w:sz w:val="28"/>
          <w:szCs w:val="28"/>
        </w:rPr>
        <w:t xml:space="preserve"> underlying the exceptions remain as valid now as before the </w:t>
      </w:r>
      <w:r w:rsidR="00B13FD9">
        <w:rPr>
          <w:rFonts w:ascii="Arial Narrow" w:hAnsi="Arial Narrow"/>
          <w:b/>
          <w:bCs/>
          <w:sz w:val="28"/>
          <w:szCs w:val="28"/>
        </w:rPr>
        <w:t>CPR</w:t>
      </w:r>
      <w:r w:rsidR="00B13FD9">
        <w:rPr>
          <w:rFonts w:ascii="Arial Narrow" w:hAnsi="Arial Narrow"/>
          <w:sz w:val="28"/>
          <w:szCs w:val="28"/>
        </w:rPr>
        <w:t>.</w:t>
      </w:r>
    </w:p>
    <w:p w14:paraId="2A39CCD0" w14:textId="25EDDE66" w:rsidR="00B13FD9" w:rsidRDefault="009E4FC2" w:rsidP="0078007F">
      <w:pPr>
        <w:pStyle w:val="ListParagraph"/>
        <w:numPr>
          <w:ilvl w:val="0"/>
          <w:numId w:val="10"/>
        </w:numPr>
        <w:tabs>
          <w:tab w:val="left" w:pos="567"/>
        </w:tabs>
        <w:spacing w:line="360" w:lineRule="auto"/>
        <w:jc w:val="both"/>
        <w:rPr>
          <w:rFonts w:ascii="Arial Narrow" w:hAnsi="Arial Narrow"/>
          <w:sz w:val="28"/>
          <w:szCs w:val="28"/>
        </w:rPr>
      </w:pPr>
      <w:r>
        <w:rPr>
          <w:rFonts w:ascii="Arial Narrow" w:hAnsi="Arial Narrow"/>
          <w:sz w:val="28"/>
          <w:szCs w:val="28"/>
        </w:rPr>
        <w:t xml:space="preserve">The exceptions are guidelines </w:t>
      </w:r>
      <w:proofErr w:type="gramStart"/>
      <w:r>
        <w:rPr>
          <w:rFonts w:ascii="Arial Narrow" w:hAnsi="Arial Narrow"/>
          <w:sz w:val="28"/>
          <w:szCs w:val="28"/>
        </w:rPr>
        <w:t>not</w:t>
      </w:r>
      <w:r w:rsidR="00D779B9">
        <w:rPr>
          <w:rFonts w:ascii="Arial Narrow" w:hAnsi="Arial Narrow"/>
          <w:sz w:val="28"/>
          <w:szCs w:val="28"/>
        </w:rPr>
        <w:t xml:space="preserve"> </w:t>
      </w:r>
      <w:r>
        <w:rPr>
          <w:rFonts w:ascii="Arial Narrow" w:hAnsi="Arial Narrow"/>
          <w:sz w:val="28"/>
          <w:szCs w:val="28"/>
        </w:rPr>
        <w:t>straightjackets</w:t>
      </w:r>
      <w:proofErr w:type="gramEnd"/>
      <w:r w:rsidR="00D779B9">
        <w:rPr>
          <w:rFonts w:ascii="Arial Narrow" w:hAnsi="Arial Narrow"/>
          <w:sz w:val="28"/>
          <w:szCs w:val="28"/>
        </w:rPr>
        <w:t xml:space="preserve"> and their application depends on the particular facts of the case.</w:t>
      </w:r>
    </w:p>
    <w:p w14:paraId="6FB3E270" w14:textId="37048AEA" w:rsidR="00D779B9" w:rsidRDefault="00C24BD7" w:rsidP="0078007F">
      <w:pPr>
        <w:pStyle w:val="ListParagraph"/>
        <w:numPr>
          <w:ilvl w:val="0"/>
          <w:numId w:val="10"/>
        </w:numPr>
        <w:tabs>
          <w:tab w:val="left" w:pos="567"/>
        </w:tabs>
        <w:spacing w:line="360" w:lineRule="auto"/>
        <w:jc w:val="both"/>
        <w:rPr>
          <w:rFonts w:ascii="Arial Narrow" w:hAnsi="Arial Narrow"/>
          <w:sz w:val="28"/>
          <w:szCs w:val="28"/>
        </w:rPr>
      </w:pPr>
      <w:r>
        <w:rPr>
          <w:rFonts w:ascii="Arial Narrow" w:hAnsi="Arial Narrow"/>
          <w:sz w:val="28"/>
          <w:szCs w:val="28"/>
        </w:rPr>
        <w:t>A positive case must be made out on</w:t>
      </w:r>
      <w:r w:rsidR="00010A3C">
        <w:rPr>
          <w:rFonts w:ascii="Arial Narrow" w:hAnsi="Arial Narrow"/>
          <w:sz w:val="28"/>
          <w:szCs w:val="28"/>
        </w:rPr>
        <w:t xml:space="preserve"> one or both exceptions before the Court departs from the general rule as to costs.</w:t>
      </w:r>
      <w:r w:rsidR="0007178A">
        <w:rPr>
          <w:rFonts w:ascii="Arial Narrow" w:hAnsi="Arial Narrow"/>
          <w:sz w:val="28"/>
          <w:szCs w:val="28"/>
        </w:rPr>
        <w:t xml:space="preserve">  It is necessary to make out a very strong case</w:t>
      </w:r>
      <w:r w:rsidR="00257663">
        <w:rPr>
          <w:rFonts w:ascii="Arial Narrow" w:hAnsi="Arial Narrow"/>
          <w:sz w:val="28"/>
          <w:szCs w:val="28"/>
        </w:rPr>
        <w:t xml:space="preserve"> on the facts for an unsuccessful litigant to get their costs out of the estate under the first exception.</w:t>
      </w:r>
    </w:p>
    <w:p w14:paraId="1C0883E4" w14:textId="52656999" w:rsidR="00257663" w:rsidRDefault="00EC5131" w:rsidP="0078007F">
      <w:pPr>
        <w:pStyle w:val="ListParagraph"/>
        <w:numPr>
          <w:ilvl w:val="0"/>
          <w:numId w:val="10"/>
        </w:numPr>
        <w:tabs>
          <w:tab w:val="left" w:pos="567"/>
        </w:tabs>
        <w:spacing w:line="360" w:lineRule="auto"/>
        <w:jc w:val="both"/>
        <w:rPr>
          <w:rFonts w:ascii="Arial Narrow" w:hAnsi="Arial Narrow"/>
          <w:sz w:val="28"/>
          <w:szCs w:val="28"/>
        </w:rPr>
      </w:pPr>
      <w:r>
        <w:rPr>
          <w:rFonts w:ascii="Arial Narrow" w:hAnsi="Arial Narrow"/>
          <w:sz w:val="28"/>
          <w:szCs w:val="28"/>
        </w:rPr>
        <w:t xml:space="preserve">In relation to the first exception, </w:t>
      </w:r>
      <w:r w:rsidR="00296194">
        <w:rPr>
          <w:rFonts w:ascii="Arial Narrow" w:hAnsi="Arial Narrow"/>
          <w:sz w:val="28"/>
          <w:szCs w:val="28"/>
        </w:rPr>
        <w:t>the trend of recent authorities was to carefully s</w:t>
      </w:r>
      <w:r w:rsidR="00A7682C">
        <w:rPr>
          <w:rFonts w:ascii="Arial Narrow" w:hAnsi="Arial Narrow"/>
          <w:sz w:val="28"/>
          <w:szCs w:val="28"/>
        </w:rPr>
        <w:t>crutinise a claim to rely on it and to narrow rather than expand the circumstances in which it might be engaged</w:t>
      </w:r>
      <w:r w:rsidR="00D46C81">
        <w:rPr>
          <w:rFonts w:ascii="Arial Narrow" w:hAnsi="Arial Narrow"/>
          <w:sz w:val="28"/>
          <w:szCs w:val="28"/>
        </w:rPr>
        <w:t>: in particular, nowadays the Court</w:t>
      </w:r>
      <w:r w:rsidR="00E66E3A">
        <w:rPr>
          <w:rFonts w:ascii="Arial Narrow" w:hAnsi="Arial Narrow"/>
          <w:sz w:val="28"/>
          <w:szCs w:val="28"/>
        </w:rPr>
        <w:t xml:space="preserve"> attached less importance to its independent powers to investigate the circumstances </w:t>
      </w:r>
      <w:r w:rsidR="00420479">
        <w:rPr>
          <w:rFonts w:ascii="Arial Narrow" w:hAnsi="Arial Narrow"/>
          <w:sz w:val="28"/>
          <w:szCs w:val="28"/>
        </w:rPr>
        <w:t xml:space="preserve">in which a will was executed and was alert to the dangers of </w:t>
      </w:r>
      <w:r w:rsidR="005D7986">
        <w:rPr>
          <w:rFonts w:ascii="Arial Narrow" w:hAnsi="Arial Narrow"/>
          <w:sz w:val="28"/>
          <w:szCs w:val="28"/>
        </w:rPr>
        <w:t>encouraging litigation and discouraging settlement</w:t>
      </w:r>
      <w:r w:rsidR="006C0A93">
        <w:rPr>
          <w:rFonts w:ascii="Arial Narrow" w:hAnsi="Arial Narrow"/>
          <w:sz w:val="28"/>
          <w:szCs w:val="28"/>
        </w:rPr>
        <w:t>.</w:t>
      </w:r>
    </w:p>
    <w:p w14:paraId="2E23D8E6" w14:textId="3222BFC3" w:rsidR="006C0A93" w:rsidRDefault="006C0A93" w:rsidP="0078007F">
      <w:pPr>
        <w:pStyle w:val="ListParagraph"/>
        <w:numPr>
          <w:ilvl w:val="0"/>
          <w:numId w:val="10"/>
        </w:numPr>
        <w:tabs>
          <w:tab w:val="left" w:pos="567"/>
        </w:tabs>
        <w:spacing w:line="360" w:lineRule="auto"/>
        <w:jc w:val="both"/>
        <w:rPr>
          <w:rFonts w:ascii="Arial Narrow" w:hAnsi="Arial Narrow"/>
          <w:sz w:val="28"/>
          <w:szCs w:val="28"/>
        </w:rPr>
      </w:pPr>
      <w:r>
        <w:rPr>
          <w:rFonts w:ascii="Arial Narrow" w:hAnsi="Arial Narrow"/>
          <w:sz w:val="28"/>
          <w:szCs w:val="28"/>
        </w:rPr>
        <w:t>The narrowing of the scope did not apply to the second exception</w:t>
      </w:r>
      <w:r w:rsidR="007C5C5D">
        <w:rPr>
          <w:rFonts w:ascii="Arial Narrow" w:hAnsi="Arial Narrow"/>
          <w:sz w:val="28"/>
          <w:szCs w:val="28"/>
        </w:rPr>
        <w:t xml:space="preserve"> because there is still a public interest </w:t>
      </w:r>
      <w:r w:rsidR="00285BCC">
        <w:rPr>
          <w:rFonts w:ascii="Arial Narrow" w:hAnsi="Arial Narrow"/>
          <w:sz w:val="28"/>
          <w:szCs w:val="28"/>
        </w:rPr>
        <w:t>that w</w:t>
      </w:r>
      <w:r w:rsidR="00346555">
        <w:rPr>
          <w:rFonts w:ascii="Arial Narrow" w:hAnsi="Arial Narrow"/>
          <w:sz w:val="28"/>
          <w:szCs w:val="28"/>
        </w:rPr>
        <w:t>h</w:t>
      </w:r>
      <w:r w:rsidR="00285BCC">
        <w:rPr>
          <w:rFonts w:ascii="Arial Narrow" w:hAnsi="Arial Narrow"/>
          <w:sz w:val="28"/>
          <w:szCs w:val="28"/>
        </w:rPr>
        <w:t xml:space="preserve">ere reasonable suspicions are raised as to the validity of a will, </w:t>
      </w:r>
      <w:r w:rsidR="00867B88">
        <w:rPr>
          <w:rFonts w:ascii="Arial Narrow" w:hAnsi="Arial Narrow"/>
          <w:sz w:val="28"/>
          <w:szCs w:val="28"/>
        </w:rPr>
        <w:t>it should be proved in solemn form.</w:t>
      </w:r>
    </w:p>
    <w:p w14:paraId="613C05C9" w14:textId="59B47807" w:rsidR="00867B88" w:rsidRDefault="001E35F6" w:rsidP="0078007F">
      <w:pPr>
        <w:pStyle w:val="ListParagraph"/>
        <w:numPr>
          <w:ilvl w:val="0"/>
          <w:numId w:val="10"/>
        </w:numPr>
        <w:tabs>
          <w:tab w:val="left" w:pos="567"/>
        </w:tabs>
        <w:spacing w:line="360" w:lineRule="auto"/>
        <w:jc w:val="both"/>
        <w:rPr>
          <w:rFonts w:ascii="Arial Narrow" w:hAnsi="Arial Narrow"/>
          <w:sz w:val="28"/>
          <w:szCs w:val="28"/>
        </w:rPr>
      </w:pPr>
      <w:r>
        <w:rPr>
          <w:rFonts w:ascii="Arial Narrow" w:hAnsi="Arial Narrow"/>
          <w:sz w:val="28"/>
          <w:szCs w:val="28"/>
        </w:rPr>
        <w:t xml:space="preserve">Even where one or both exceptions might be engaged, there </w:t>
      </w:r>
      <w:r w:rsidR="00AF386A">
        <w:rPr>
          <w:rFonts w:ascii="Arial Narrow" w:hAnsi="Arial Narrow"/>
          <w:sz w:val="28"/>
          <w:szCs w:val="28"/>
        </w:rPr>
        <w:t xml:space="preserve">may still be a point that is reached where the litigation becomes ordinary hostile litigation, </w:t>
      </w:r>
      <w:r w:rsidR="00ED7017">
        <w:rPr>
          <w:rFonts w:ascii="Arial Narrow" w:hAnsi="Arial Narrow"/>
          <w:sz w:val="28"/>
          <w:szCs w:val="28"/>
        </w:rPr>
        <w:t>from which point the normal rule that costs follow the event will apply.</w:t>
      </w:r>
    </w:p>
    <w:p w14:paraId="5EA5397B" w14:textId="77777777" w:rsidR="003E7B6E" w:rsidRPr="003E7B6E" w:rsidRDefault="003E7B6E" w:rsidP="003E7B6E">
      <w:pPr>
        <w:tabs>
          <w:tab w:val="left" w:pos="567"/>
        </w:tabs>
        <w:spacing w:line="360" w:lineRule="auto"/>
        <w:jc w:val="both"/>
        <w:rPr>
          <w:rFonts w:ascii="Arial Narrow" w:hAnsi="Arial Narrow"/>
          <w:sz w:val="28"/>
          <w:szCs w:val="28"/>
        </w:rPr>
      </w:pPr>
    </w:p>
    <w:p w14:paraId="06463DC8" w14:textId="545842FF" w:rsidR="003F1497" w:rsidRDefault="003E7B6E" w:rsidP="003F1497">
      <w:pPr>
        <w:pStyle w:val="ListParagraph"/>
        <w:numPr>
          <w:ilvl w:val="0"/>
          <w:numId w:val="4"/>
        </w:numPr>
        <w:tabs>
          <w:tab w:val="left" w:pos="567"/>
        </w:tabs>
        <w:spacing w:line="360" w:lineRule="auto"/>
        <w:ind w:left="567" w:hanging="567"/>
        <w:jc w:val="both"/>
        <w:rPr>
          <w:rFonts w:ascii="Arial Narrow" w:hAnsi="Arial Narrow"/>
          <w:sz w:val="28"/>
          <w:szCs w:val="28"/>
        </w:rPr>
      </w:pPr>
      <w:r>
        <w:rPr>
          <w:rFonts w:ascii="Arial Narrow" w:hAnsi="Arial Narrow"/>
          <w:sz w:val="28"/>
          <w:szCs w:val="28"/>
        </w:rPr>
        <w:t xml:space="preserve">On the facts of the case, </w:t>
      </w:r>
      <w:r w:rsidR="00CC3C08">
        <w:rPr>
          <w:rFonts w:ascii="Arial Narrow" w:hAnsi="Arial Narrow"/>
          <w:sz w:val="28"/>
          <w:szCs w:val="28"/>
        </w:rPr>
        <w:t xml:space="preserve">the judge held that the first exception did not apply at all.  She acknowledged </w:t>
      </w:r>
      <w:r w:rsidR="00387A90">
        <w:rPr>
          <w:rFonts w:ascii="Arial Narrow" w:hAnsi="Arial Narrow"/>
          <w:sz w:val="28"/>
          <w:szCs w:val="28"/>
        </w:rPr>
        <w:t xml:space="preserve">that </w:t>
      </w:r>
      <w:r w:rsidR="00DC091C">
        <w:rPr>
          <w:rFonts w:ascii="Arial Narrow" w:hAnsi="Arial Narrow"/>
          <w:sz w:val="28"/>
          <w:szCs w:val="28"/>
        </w:rPr>
        <w:t>in looking at the question of whether the testator</w:t>
      </w:r>
      <w:r w:rsidR="00B842F5">
        <w:rPr>
          <w:rFonts w:ascii="Arial Narrow" w:hAnsi="Arial Narrow"/>
          <w:sz w:val="28"/>
          <w:szCs w:val="28"/>
        </w:rPr>
        <w:t xml:space="preserve"> had been the cause of the litigation, it was not necessary to show moral fault or culpa</w:t>
      </w:r>
      <w:r w:rsidR="00A71F07">
        <w:rPr>
          <w:rFonts w:ascii="Arial Narrow" w:hAnsi="Arial Narrow"/>
          <w:sz w:val="28"/>
          <w:szCs w:val="28"/>
        </w:rPr>
        <w:t xml:space="preserve">bility on his part and that the circumstances could include leaving testamentary papers in a state of confusion, </w:t>
      </w:r>
      <w:r w:rsidR="005A3156">
        <w:rPr>
          <w:rFonts w:ascii="Arial Narrow" w:hAnsi="Arial Narrow"/>
          <w:sz w:val="28"/>
          <w:szCs w:val="28"/>
        </w:rPr>
        <w:t xml:space="preserve">or where a will cannot be found, or </w:t>
      </w:r>
      <w:r w:rsidR="005A3156">
        <w:rPr>
          <w:rFonts w:ascii="Arial Narrow" w:hAnsi="Arial Narrow"/>
          <w:sz w:val="28"/>
          <w:szCs w:val="28"/>
        </w:rPr>
        <w:lastRenderedPageBreak/>
        <w:t>using difficult language</w:t>
      </w:r>
      <w:r w:rsidR="008B1ED9">
        <w:rPr>
          <w:rFonts w:ascii="Arial Narrow" w:hAnsi="Arial Narrow"/>
          <w:sz w:val="28"/>
          <w:szCs w:val="28"/>
        </w:rPr>
        <w:t>, and could extend to circumstances</w:t>
      </w:r>
      <w:r w:rsidR="009B6539">
        <w:rPr>
          <w:rFonts w:ascii="Arial Narrow" w:hAnsi="Arial Narrow"/>
          <w:sz w:val="28"/>
          <w:szCs w:val="28"/>
        </w:rPr>
        <w:t xml:space="preserve"> involving doubt as to testamentary capacity.</w:t>
      </w:r>
      <w:r w:rsidR="00AE27C7">
        <w:rPr>
          <w:rFonts w:ascii="Arial Narrow" w:hAnsi="Arial Narrow"/>
          <w:sz w:val="28"/>
          <w:szCs w:val="28"/>
        </w:rPr>
        <w:t xml:space="preserve">  But it was also relevant to consider the state of knowledge of the unsuccessful </w:t>
      </w:r>
      <w:r w:rsidR="00660B2A">
        <w:rPr>
          <w:rFonts w:ascii="Arial Narrow" w:hAnsi="Arial Narrow"/>
          <w:sz w:val="28"/>
          <w:szCs w:val="28"/>
        </w:rPr>
        <w:t xml:space="preserve">proponents of the will and where they had had ample opportunity </w:t>
      </w:r>
      <w:r w:rsidR="00BD41E1">
        <w:rPr>
          <w:rFonts w:ascii="Arial Narrow" w:hAnsi="Arial Narrow"/>
          <w:sz w:val="28"/>
          <w:szCs w:val="28"/>
        </w:rPr>
        <w:t xml:space="preserve">to form an opinion as to the testator’s testamentary capacity, the first exception </w:t>
      </w:r>
      <w:r w:rsidR="00CF3FFF">
        <w:rPr>
          <w:rFonts w:ascii="Arial Narrow" w:hAnsi="Arial Narrow"/>
          <w:sz w:val="28"/>
          <w:szCs w:val="28"/>
        </w:rPr>
        <w:t>did not protect them in taking a view which turned out to be mistaken.</w:t>
      </w:r>
    </w:p>
    <w:p w14:paraId="6E28B7D2" w14:textId="47B0F721" w:rsidR="00486E38" w:rsidRDefault="00486E38" w:rsidP="00486E38">
      <w:pPr>
        <w:pStyle w:val="ListParagraph"/>
        <w:tabs>
          <w:tab w:val="left" w:pos="567"/>
        </w:tabs>
        <w:spacing w:line="360" w:lineRule="auto"/>
        <w:ind w:left="567"/>
        <w:jc w:val="both"/>
        <w:rPr>
          <w:rFonts w:ascii="Arial Narrow" w:hAnsi="Arial Narrow"/>
          <w:sz w:val="28"/>
          <w:szCs w:val="28"/>
        </w:rPr>
      </w:pPr>
    </w:p>
    <w:p w14:paraId="02065329" w14:textId="0DC50B34" w:rsidR="00486E38" w:rsidRDefault="00486E38" w:rsidP="003F1497">
      <w:pPr>
        <w:pStyle w:val="ListParagraph"/>
        <w:numPr>
          <w:ilvl w:val="0"/>
          <w:numId w:val="4"/>
        </w:numPr>
        <w:tabs>
          <w:tab w:val="left" w:pos="567"/>
        </w:tabs>
        <w:spacing w:line="360" w:lineRule="auto"/>
        <w:ind w:left="567" w:hanging="567"/>
        <w:jc w:val="both"/>
        <w:rPr>
          <w:rFonts w:ascii="Arial Narrow" w:hAnsi="Arial Narrow"/>
          <w:sz w:val="28"/>
          <w:szCs w:val="28"/>
        </w:rPr>
      </w:pPr>
      <w:r>
        <w:rPr>
          <w:rFonts w:ascii="Arial Narrow" w:hAnsi="Arial Narrow"/>
          <w:sz w:val="28"/>
          <w:szCs w:val="28"/>
        </w:rPr>
        <w:t xml:space="preserve">As to the second exception, the judge accepted that it was engaged </w:t>
      </w:r>
      <w:r w:rsidR="00350806">
        <w:rPr>
          <w:rFonts w:ascii="Arial Narrow" w:hAnsi="Arial Narrow"/>
          <w:sz w:val="28"/>
          <w:szCs w:val="28"/>
        </w:rPr>
        <w:t xml:space="preserve">but that it is not an all or nothing exception.  </w:t>
      </w:r>
      <w:r w:rsidR="00D01A25">
        <w:rPr>
          <w:rFonts w:ascii="Arial Narrow" w:hAnsi="Arial Narrow"/>
          <w:sz w:val="28"/>
          <w:szCs w:val="28"/>
        </w:rPr>
        <w:t>Investigation might be justified at the outset but as the position becomes clearer</w:t>
      </w:r>
      <w:r w:rsidR="00550703">
        <w:rPr>
          <w:rFonts w:ascii="Arial Narrow" w:hAnsi="Arial Narrow"/>
          <w:sz w:val="28"/>
          <w:szCs w:val="28"/>
        </w:rPr>
        <w:t xml:space="preserve"> a point may be reached where it no longer applies and the normal rule as to costs then takes effect.  The Judge also held that the exception </w:t>
      </w:r>
      <w:r w:rsidR="005D5743">
        <w:rPr>
          <w:rFonts w:ascii="Arial Narrow" w:hAnsi="Arial Narrow"/>
          <w:sz w:val="28"/>
          <w:szCs w:val="28"/>
        </w:rPr>
        <w:t>could</w:t>
      </w:r>
      <w:r w:rsidR="00550703">
        <w:rPr>
          <w:rFonts w:ascii="Arial Narrow" w:hAnsi="Arial Narrow"/>
          <w:sz w:val="28"/>
          <w:szCs w:val="28"/>
        </w:rPr>
        <w:t xml:space="preserve"> apply equally to </w:t>
      </w:r>
      <w:r w:rsidR="009A2A70">
        <w:rPr>
          <w:rFonts w:ascii="Arial Narrow" w:hAnsi="Arial Narrow"/>
          <w:sz w:val="28"/>
          <w:szCs w:val="28"/>
        </w:rPr>
        <w:t>unsuccessful challengers to a will as to unsuccessful proponents of a will.</w:t>
      </w:r>
      <w:r w:rsidR="00E5598A">
        <w:rPr>
          <w:rFonts w:ascii="Arial Narrow" w:hAnsi="Arial Narrow"/>
          <w:sz w:val="28"/>
          <w:szCs w:val="28"/>
        </w:rPr>
        <w:t xml:space="preserve">  On the facts, she reached the view that in that case the second exception applied </w:t>
      </w:r>
      <w:r w:rsidR="008B0E60">
        <w:rPr>
          <w:rFonts w:ascii="Arial Narrow" w:hAnsi="Arial Narrow"/>
          <w:sz w:val="28"/>
          <w:szCs w:val="28"/>
        </w:rPr>
        <w:t>up to and including an early mediation between the parties (March 2021) but not thereafter.</w:t>
      </w:r>
    </w:p>
    <w:p w14:paraId="0C90D03F" w14:textId="77777777" w:rsidR="00976557" w:rsidRPr="00976557" w:rsidRDefault="00976557" w:rsidP="00976557">
      <w:pPr>
        <w:pStyle w:val="ListParagraph"/>
        <w:rPr>
          <w:rFonts w:ascii="Arial Narrow" w:hAnsi="Arial Narrow"/>
          <w:sz w:val="28"/>
          <w:szCs w:val="28"/>
        </w:rPr>
      </w:pPr>
    </w:p>
    <w:p w14:paraId="4F04F751" w14:textId="32F4C693" w:rsidR="00976557" w:rsidRDefault="00976557" w:rsidP="003F1497">
      <w:pPr>
        <w:pStyle w:val="ListParagraph"/>
        <w:numPr>
          <w:ilvl w:val="0"/>
          <w:numId w:val="4"/>
        </w:numPr>
        <w:tabs>
          <w:tab w:val="left" w:pos="567"/>
        </w:tabs>
        <w:spacing w:line="360" w:lineRule="auto"/>
        <w:ind w:left="567" w:hanging="567"/>
        <w:jc w:val="both"/>
        <w:rPr>
          <w:rFonts w:ascii="Arial Narrow" w:hAnsi="Arial Narrow"/>
          <w:sz w:val="28"/>
          <w:szCs w:val="28"/>
        </w:rPr>
      </w:pPr>
      <w:r>
        <w:rPr>
          <w:rFonts w:ascii="Arial Narrow" w:hAnsi="Arial Narrow"/>
          <w:sz w:val="28"/>
          <w:szCs w:val="28"/>
        </w:rPr>
        <w:t xml:space="preserve">The Part 36 offer had been made </w:t>
      </w:r>
      <w:r w:rsidR="001A71BE">
        <w:rPr>
          <w:rFonts w:ascii="Arial Narrow" w:hAnsi="Arial Narrow"/>
          <w:sz w:val="28"/>
          <w:szCs w:val="28"/>
        </w:rPr>
        <w:t xml:space="preserve">in September 2021 and it was accepted that </w:t>
      </w:r>
      <w:r w:rsidR="00906707">
        <w:rPr>
          <w:rFonts w:ascii="Arial Narrow" w:hAnsi="Arial Narrow"/>
          <w:sz w:val="28"/>
          <w:szCs w:val="28"/>
        </w:rPr>
        <w:t xml:space="preserve">the judgment in the case </w:t>
      </w:r>
      <w:r w:rsidR="001A71BE">
        <w:rPr>
          <w:rFonts w:ascii="Arial Narrow" w:hAnsi="Arial Narrow"/>
          <w:sz w:val="28"/>
          <w:szCs w:val="28"/>
        </w:rPr>
        <w:t>had been at least as advantageous to the claimants</w:t>
      </w:r>
      <w:r w:rsidR="00906707">
        <w:rPr>
          <w:rFonts w:ascii="Arial Narrow" w:hAnsi="Arial Narrow"/>
          <w:sz w:val="28"/>
          <w:szCs w:val="28"/>
        </w:rPr>
        <w:t xml:space="preserve"> as the Part 36 offer, so that </w:t>
      </w:r>
      <w:r w:rsidR="00842E88">
        <w:rPr>
          <w:rFonts w:ascii="Arial Narrow" w:hAnsi="Arial Narrow"/>
          <w:b/>
          <w:bCs/>
          <w:sz w:val="28"/>
          <w:szCs w:val="28"/>
        </w:rPr>
        <w:t>CPR 36.17(4)</w:t>
      </w:r>
      <w:r w:rsidR="00842E88">
        <w:rPr>
          <w:rFonts w:ascii="Arial Narrow" w:hAnsi="Arial Narrow"/>
          <w:sz w:val="28"/>
          <w:szCs w:val="28"/>
        </w:rPr>
        <w:t xml:space="preserve"> applied in principle.  </w:t>
      </w:r>
      <w:r w:rsidR="002F1916">
        <w:rPr>
          <w:rFonts w:ascii="Arial Narrow" w:hAnsi="Arial Narrow"/>
          <w:sz w:val="28"/>
          <w:szCs w:val="28"/>
        </w:rPr>
        <w:t xml:space="preserve">The argument mounted by the defendants, which </w:t>
      </w:r>
      <w:r w:rsidR="00E33D8A">
        <w:rPr>
          <w:rFonts w:ascii="Arial Narrow" w:hAnsi="Arial Narrow"/>
          <w:sz w:val="28"/>
          <w:szCs w:val="28"/>
        </w:rPr>
        <w:t xml:space="preserve">was not specific to the context of a probate claim, was that </w:t>
      </w:r>
      <w:r w:rsidR="0037085A">
        <w:rPr>
          <w:rFonts w:ascii="Arial Narrow" w:hAnsi="Arial Narrow"/>
          <w:sz w:val="28"/>
          <w:szCs w:val="28"/>
        </w:rPr>
        <w:t xml:space="preserve">the Part 36 offer was alleged to not have been a genuine </w:t>
      </w:r>
      <w:r w:rsidR="00A27309">
        <w:rPr>
          <w:rFonts w:ascii="Arial Narrow" w:hAnsi="Arial Narrow"/>
          <w:sz w:val="28"/>
          <w:szCs w:val="28"/>
        </w:rPr>
        <w:t xml:space="preserve">attempt to settle the proceedings.  On that basis, the defendants argued that </w:t>
      </w:r>
      <w:r w:rsidR="004C182F">
        <w:rPr>
          <w:rFonts w:ascii="Arial Narrow" w:hAnsi="Arial Narrow"/>
          <w:sz w:val="28"/>
          <w:szCs w:val="28"/>
        </w:rPr>
        <w:t xml:space="preserve">it would be unjust to make an order under </w:t>
      </w:r>
      <w:r w:rsidR="004C182F">
        <w:rPr>
          <w:rFonts w:ascii="Arial Narrow" w:hAnsi="Arial Narrow"/>
          <w:b/>
          <w:bCs/>
          <w:sz w:val="28"/>
          <w:szCs w:val="28"/>
        </w:rPr>
        <w:t>CPR 36.17(4)</w:t>
      </w:r>
      <w:r w:rsidR="004C182F">
        <w:rPr>
          <w:rFonts w:ascii="Arial Narrow" w:hAnsi="Arial Narrow"/>
          <w:sz w:val="28"/>
          <w:szCs w:val="28"/>
        </w:rPr>
        <w:t xml:space="preserve"> relying on </w:t>
      </w:r>
      <w:r w:rsidR="004C182F">
        <w:rPr>
          <w:rFonts w:ascii="Arial Narrow" w:hAnsi="Arial Narrow"/>
          <w:b/>
          <w:bCs/>
          <w:sz w:val="28"/>
          <w:szCs w:val="28"/>
        </w:rPr>
        <w:t>CPR 36.17(5)</w:t>
      </w:r>
      <w:r w:rsidR="004C182F">
        <w:rPr>
          <w:rFonts w:ascii="Arial Narrow" w:hAnsi="Arial Narrow"/>
          <w:sz w:val="28"/>
          <w:szCs w:val="28"/>
        </w:rPr>
        <w:t xml:space="preserve">.  The judge rejected that.  She held that the offer was genuine </w:t>
      </w:r>
      <w:r w:rsidR="00FB28DA">
        <w:rPr>
          <w:rFonts w:ascii="Arial Narrow" w:hAnsi="Arial Narrow"/>
          <w:sz w:val="28"/>
          <w:szCs w:val="28"/>
        </w:rPr>
        <w:t xml:space="preserve">at the time it was made </w:t>
      </w:r>
      <w:r w:rsidR="004C182F">
        <w:rPr>
          <w:rFonts w:ascii="Arial Narrow" w:hAnsi="Arial Narrow"/>
          <w:sz w:val="28"/>
          <w:szCs w:val="28"/>
        </w:rPr>
        <w:t xml:space="preserve">in the sense that it contained </w:t>
      </w:r>
      <w:r w:rsidR="00FB28DA">
        <w:rPr>
          <w:rFonts w:ascii="Arial Narrow" w:hAnsi="Arial Narrow"/>
          <w:sz w:val="28"/>
          <w:szCs w:val="28"/>
        </w:rPr>
        <w:t xml:space="preserve">an element of give and take and a genuine </w:t>
      </w:r>
      <w:r w:rsidR="00EE54B5">
        <w:rPr>
          <w:rFonts w:ascii="Arial Narrow" w:hAnsi="Arial Narrow"/>
          <w:sz w:val="28"/>
          <w:szCs w:val="28"/>
        </w:rPr>
        <w:t>element of concession to which a significant value could be attached in the litigation.</w:t>
      </w:r>
      <w:r w:rsidR="00E60F67">
        <w:rPr>
          <w:rFonts w:ascii="Arial Narrow" w:hAnsi="Arial Narrow"/>
          <w:sz w:val="28"/>
          <w:szCs w:val="28"/>
        </w:rPr>
        <w:t xml:space="preserve">  In this respect, the offer contained a modest increase in </w:t>
      </w:r>
      <w:r w:rsidR="00E60F67">
        <w:rPr>
          <w:rFonts w:ascii="Arial Narrow" w:hAnsi="Arial Narrow"/>
          <w:sz w:val="28"/>
          <w:szCs w:val="28"/>
        </w:rPr>
        <w:lastRenderedPageBreak/>
        <w:t>legacies to the defendants (1.9% of the value of the estate)</w:t>
      </w:r>
      <w:r w:rsidR="00521806">
        <w:rPr>
          <w:rFonts w:ascii="Arial Narrow" w:hAnsi="Arial Narrow"/>
          <w:sz w:val="28"/>
          <w:szCs w:val="28"/>
        </w:rPr>
        <w:t xml:space="preserve"> and conceded a counterclaim in relation to lifetime gifts (which was </w:t>
      </w:r>
      <w:r w:rsidR="00A46DA6">
        <w:rPr>
          <w:rFonts w:ascii="Arial Narrow" w:hAnsi="Arial Narrow"/>
          <w:sz w:val="28"/>
          <w:szCs w:val="28"/>
        </w:rPr>
        <w:t xml:space="preserve">then </w:t>
      </w:r>
      <w:r w:rsidR="00521806">
        <w:rPr>
          <w:rFonts w:ascii="Arial Narrow" w:hAnsi="Arial Narrow"/>
          <w:sz w:val="28"/>
          <w:szCs w:val="28"/>
        </w:rPr>
        <w:t>conceded prior to trial)</w:t>
      </w:r>
      <w:r w:rsidR="009F0C8A">
        <w:rPr>
          <w:rFonts w:ascii="Arial Narrow" w:hAnsi="Arial Narrow"/>
          <w:sz w:val="28"/>
          <w:szCs w:val="28"/>
        </w:rPr>
        <w:t xml:space="preserve">, but crucially for Joanne Smith J, it was made at an early stage of the proceedings and </w:t>
      </w:r>
      <w:r w:rsidR="00854D45">
        <w:rPr>
          <w:rFonts w:ascii="Arial Narrow" w:hAnsi="Arial Narrow"/>
          <w:sz w:val="28"/>
          <w:szCs w:val="28"/>
        </w:rPr>
        <w:t>was genuinely made to limit and avoid the costs of litigation that were subsequently incurred.</w:t>
      </w:r>
    </w:p>
    <w:p w14:paraId="15E8BE69" w14:textId="4B44C7DB" w:rsidR="00991D34" w:rsidRDefault="00991D34" w:rsidP="00991D34">
      <w:pPr>
        <w:tabs>
          <w:tab w:val="left" w:pos="567"/>
        </w:tabs>
        <w:spacing w:line="360" w:lineRule="auto"/>
        <w:jc w:val="both"/>
        <w:rPr>
          <w:rFonts w:ascii="Arial Narrow" w:hAnsi="Arial Narrow"/>
          <w:sz w:val="28"/>
          <w:szCs w:val="28"/>
        </w:rPr>
      </w:pPr>
    </w:p>
    <w:p w14:paraId="30A79AB1" w14:textId="04E8A665" w:rsidR="00991D34" w:rsidRPr="006E6B0A" w:rsidRDefault="00991D34" w:rsidP="00991D34">
      <w:pPr>
        <w:tabs>
          <w:tab w:val="left" w:pos="567"/>
        </w:tabs>
        <w:spacing w:line="360" w:lineRule="auto"/>
        <w:jc w:val="both"/>
        <w:rPr>
          <w:rFonts w:ascii="Arial Narrow" w:hAnsi="Arial Narrow"/>
          <w:b/>
          <w:bCs/>
          <w:sz w:val="28"/>
          <w:szCs w:val="28"/>
        </w:rPr>
      </w:pPr>
      <w:r>
        <w:rPr>
          <w:rFonts w:ascii="Arial Narrow" w:hAnsi="Arial Narrow"/>
          <w:b/>
          <w:bCs/>
          <w:sz w:val="28"/>
          <w:szCs w:val="28"/>
          <w:u w:val="single"/>
        </w:rPr>
        <w:t>Rea v Rea</w:t>
      </w:r>
      <w:r w:rsidR="006E6B0A">
        <w:rPr>
          <w:rFonts w:ascii="Arial Narrow" w:hAnsi="Arial Narrow"/>
          <w:b/>
          <w:bCs/>
          <w:sz w:val="28"/>
          <w:szCs w:val="28"/>
        </w:rPr>
        <w:t xml:space="preserve"> [2024] EWCA</w:t>
      </w:r>
      <w:r w:rsidR="00686E7A">
        <w:rPr>
          <w:rFonts w:ascii="Arial Narrow" w:hAnsi="Arial Narrow"/>
          <w:b/>
          <w:bCs/>
          <w:sz w:val="28"/>
          <w:szCs w:val="28"/>
        </w:rPr>
        <w:t xml:space="preserve"> </w:t>
      </w:r>
      <w:proofErr w:type="spellStart"/>
      <w:r w:rsidR="00686E7A">
        <w:rPr>
          <w:rFonts w:ascii="Arial Narrow" w:hAnsi="Arial Narrow"/>
          <w:b/>
          <w:bCs/>
          <w:sz w:val="28"/>
          <w:szCs w:val="28"/>
        </w:rPr>
        <w:t>Civ</w:t>
      </w:r>
      <w:proofErr w:type="spellEnd"/>
      <w:r w:rsidR="00686E7A">
        <w:rPr>
          <w:rFonts w:ascii="Arial Narrow" w:hAnsi="Arial Narrow"/>
          <w:b/>
          <w:bCs/>
          <w:sz w:val="28"/>
          <w:szCs w:val="28"/>
        </w:rPr>
        <w:t xml:space="preserve"> 169</w:t>
      </w:r>
    </w:p>
    <w:p w14:paraId="07B87A9F" w14:textId="36AC2683" w:rsidR="00991D34" w:rsidRDefault="0012160D" w:rsidP="003F1497">
      <w:pPr>
        <w:pStyle w:val="ListParagraph"/>
        <w:numPr>
          <w:ilvl w:val="0"/>
          <w:numId w:val="4"/>
        </w:numPr>
        <w:tabs>
          <w:tab w:val="left" w:pos="567"/>
        </w:tabs>
        <w:spacing w:line="360" w:lineRule="auto"/>
        <w:ind w:left="567" w:hanging="567"/>
        <w:jc w:val="both"/>
        <w:rPr>
          <w:rFonts w:ascii="Arial Narrow" w:hAnsi="Arial Narrow"/>
          <w:sz w:val="28"/>
          <w:szCs w:val="28"/>
        </w:rPr>
      </w:pPr>
      <w:r>
        <w:rPr>
          <w:rFonts w:ascii="Arial Narrow" w:hAnsi="Arial Narrow"/>
          <w:sz w:val="28"/>
          <w:szCs w:val="28"/>
        </w:rPr>
        <w:t xml:space="preserve">I confess that when the decision was made </w:t>
      </w:r>
      <w:r w:rsidR="00C73B9D">
        <w:rPr>
          <w:rFonts w:ascii="Arial Narrow" w:hAnsi="Arial Narrow"/>
          <w:sz w:val="28"/>
          <w:szCs w:val="28"/>
        </w:rPr>
        <w:t xml:space="preserve">for me to give a contentious probate update in the early part of the year, </w:t>
      </w:r>
      <w:r w:rsidR="007C42F9">
        <w:rPr>
          <w:rFonts w:ascii="Arial Narrow" w:hAnsi="Arial Narrow"/>
          <w:sz w:val="28"/>
          <w:szCs w:val="28"/>
        </w:rPr>
        <w:t xml:space="preserve">the Court of Appeal had recently handed down its judgment in </w:t>
      </w:r>
      <w:r w:rsidR="007C42F9">
        <w:rPr>
          <w:rFonts w:ascii="Arial Narrow" w:hAnsi="Arial Narrow"/>
          <w:b/>
          <w:bCs/>
          <w:sz w:val="28"/>
          <w:szCs w:val="28"/>
          <w:u w:val="single"/>
        </w:rPr>
        <w:t>Rea v Rea</w:t>
      </w:r>
      <w:r w:rsidR="00694DEB">
        <w:rPr>
          <w:rFonts w:ascii="Arial Narrow" w:hAnsi="Arial Narrow"/>
          <w:sz w:val="28"/>
          <w:szCs w:val="28"/>
        </w:rPr>
        <w:t xml:space="preserve">, which it did in February this year, and the suggestion was made </w:t>
      </w:r>
      <w:r w:rsidR="00FC46AA">
        <w:rPr>
          <w:rFonts w:ascii="Arial Narrow" w:hAnsi="Arial Narrow"/>
          <w:sz w:val="28"/>
          <w:szCs w:val="28"/>
        </w:rPr>
        <w:t>that I should talk about this case because the Court of Appeal had done down our own Judge David Hod</w:t>
      </w:r>
      <w:r w:rsidR="00212138">
        <w:rPr>
          <w:rFonts w:ascii="Arial Narrow" w:hAnsi="Arial Narrow"/>
          <w:sz w:val="28"/>
          <w:szCs w:val="28"/>
        </w:rPr>
        <w:t>g</w:t>
      </w:r>
      <w:r w:rsidR="00FC46AA">
        <w:rPr>
          <w:rFonts w:ascii="Arial Narrow" w:hAnsi="Arial Narrow"/>
          <w:sz w:val="28"/>
          <w:szCs w:val="28"/>
        </w:rPr>
        <w:t>e KC</w:t>
      </w:r>
      <w:r w:rsidR="00212138">
        <w:rPr>
          <w:rFonts w:ascii="Arial Narrow" w:hAnsi="Arial Narrow"/>
          <w:sz w:val="28"/>
          <w:szCs w:val="28"/>
        </w:rPr>
        <w:t>.</w:t>
      </w:r>
      <w:r w:rsidR="006C1864">
        <w:rPr>
          <w:rFonts w:ascii="Arial Narrow" w:hAnsi="Arial Narrow"/>
          <w:sz w:val="28"/>
          <w:szCs w:val="28"/>
        </w:rPr>
        <w:t xml:space="preserve">  I note that </w:t>
      </w:r>
      <w:r w:rsidR="00384E75">
        <w:rPr>
          <w:rFonts w:ascii="Arial Narrow" w:hAnsi="Arial Narrow"/>
          <w:sz w:val="28"/>
          <w:szCs w:val="28"/>
        </w:rPr>
        <w:t>in the last few weeks the Supreme Court has refused permission to appeal</w:t>
      </w:r>
      <w:r w:rsidR="00FF1E1B">
        <w:rPr>
          <w:rFonts w:ascii="Arial Narrow" w:hAnsi="Arial Narrow"/>
          <w:sz w:val="28"/>
          <w:szCs w:val="28"/>
        </w:rPr>
        <w:t>, so it appears that it is going no further.</w:t>
      </w:r>
    </w:p>
    <w:p w14:paraId="2569E965" w14:textId="5538B84F" w:rsidR="00FF1E1B" w:rsidRDefault="00FF1E1B" w:rsidP="00FF1E1B">
      <w:pPr>
        <w:pStyle w:val="ListParagraph"/>
        <w:tabs>
          <w:tab w:val="left" w:pos="567"/>
        </w:tabs>
        <w:spacing w:line="360" w:lineRule="auto"/>
        <w:ind w:left="567"/>
        <w:jc w:val="both"/>
        <w:rPr>
          <w:rFonts w:ascii="Arial Narrow" w:hAnsi="Arial Narrow"/>
          <w:sz w:val="28"/>
          <w:szCs w:val="28"/>
        </w:rPr>
      </w:pPr>
    </w:p>
    <w:p w14:paraId="1AF57290" w14:textId="419E0032" w:rsidR="00FF1E1B" w:rsidRDefault="002B1102" w:rsidP="003F1497">
      <w:pPr>
        <w:pStyle w:val="ListParagraph"/>
        <w:numPr>
          <w:ilvl w:val="0"/>
          <w:numId w:val="4"/>
        </w:numPr>
        <w:tabs>
          <w:tab w:val="left" w:pos="567"/>
        </w:tabs>
        <w:spacing w:line="360" w:lineRule="auto"/>
        <w:ind w:left="567" w:hanging="567"/>
        <w:jc w:val="both"/>
        <w:rPr>
          <w:rFonts w:ascii="Arial Narrow" w:hAnsi="Arial Narrow"/>
          <w:sz w:val="28"/>
          <w:szCs w:val="28"/>
        </w:rPr>
      </w:pPr>
      <w:r>
        <w:rPr>
          <w:rFonts w:ascii="Arial Narrow" w:hAnsi="Arial Narrow"/>
          <w:sz w:val="28"/>
          <w:szCs w:val="28"/>
        </w:rPr>
        <w:t>The decision is</w:t>
      </w:r>
      <w:r w:rsidR="003836BF">
        <w:rPr>
          <w:rFonts w:ascii="Arial Narrow" w:hAnsi="Arial Narrow"/>
          <w:sz w:val="28"/>
          <w:szCs w:val="28"/>
        </w:rPr>
        <w:t xml:space="preserve">, I should say, </w:t>
      </w:r>
      <w:r>
        <w:rPr>
          <w:rFonts w:ascii="Arial Narrow" w:hAnsi="Arial Narrow"/>
          <w:sz w:val="28"/>
          <w:szCs w:val="28"/>
        </w:rPr>
        <w:t>a rare</w:t>
      </w:r>
      <w:r w:rsidR="003836BF">
        <w:rPr>
          <w:rFonts w:ascii="Arial Narrow" w:hAnsi="Arial Narrow"/>
          <w:sz w:val="28"/>
          <w:szCs w:val="28"/>
        </w:rPr>
        <w:t xml:space="preserve"> case of the Court of Appeal overturning a decision of Judge Hodge.  </w:t>
      </w:r>
      <w:r w:rsidR="008C775E">
        <w:rPr>
          <w:rFonts w:ascii="Arial Narrow" w:hAnsi="Arial Narrow"/>
          <w:sz w:val="28"/>
          <w:szCs w:val="28"/>
        </w:rPr>
        <w:t>I will not attempt a staunch defence of Judge Hodge</w:t>
      </w:r>
      <w:r w:rsidR="00B95906">
        <w:rPr>
          <w:rFonts w:ascii="Arial Narrow" w:hAnsi="Arial Narrow"/>
          <w:sz w:val="28"/>
          <w:szCs w:val="28"/>
        </w:rPr>
        <w:t>’s judgment, as I</w:t>
      </w:r>
      <w:r w:rsidR="005F7076">
        <w:rPr>
          <w:rFonts w:ascii="Arial Narrow" w:hAnsi="Arial Narrow"/>
          <w:sz w:val="28"/>
          <w:szCs w:val="28"/>
        </w:rPr>
        <w:t xml:space="preserve"> would make a very poor fist of it, I am sure, and he is far more capable of </w:t>
      </w:r>
      <w:r w:rsidR="001A4D5B">
        <w:rPr>
          <w:rFonts w:ascii="Arial Narrow" w:hAnsi="Arial Narrow"/>
          <w:sz w:val="28"/>
          <w:szCs w:val="28"/>
        </w:rPr>
        <w:t xml:space="preserve">doing so.  What I will say </w:t>
      </w:r>
      <w:r w:rsidR="003D2DD4">
        <w:rPr>
          <w:rFonts w:ascii="Arial Narrow" w:hAnsi="Arial Narrow"/>
          <w:sz w:val="28"/>
          <w:szCs w:val="28"/>
        </w:rPr>
        <w:t xml:space="preserve">is that the decision of the Court of Appeal </w:t>
      </w:r>
      <w:r w:rsidR="00E441CE">
        <w:rPr>
          <w:rFonts w:ascii="Arial Narrow" w:hAnsi="Arial Narrow"/>
          <w:sz w:val="28"/>
          <w:szCs w:val="28"/>
        </w:rPr>
        <w:t xml:space="preserve">appears to me to be harsh, in circumstances where Judge Hodge had </w:t>
      </w:r>
      <w:r w:rsidR="00E25858">
        <w:rPr>
          <w:rFonts w:ascii="Arial Narrow" w:hAnsi="Arial Narrow"/>
          <w:sz w:val="28"/>
          <w:szCs w:val="28"/>
        </w:rPr>
        <w:t>heard all the live evidence and clearly formed a view as to the credibility and re</w:t>
      </w:r>
      <w:r w:rsidR="00B13098">
        <w:rPr>
          <w:rFonts w:ascii="Arial Narrow" w:hAnsi="Arial Narrow"/>
          <w:sz w:val="28"/>
          <w:szCs w:val="28"/>
        </w:rPr>
        <w:t>liability of the witnesses at trial</w:t>
      </w:r>
      <w:r w:rsidR="007337A6">
        <w:rPr>
          <w:rFonts w:ascii="Arial Narrow" w:hAnsi="Arial Narrow"/>
          <w:sz w:val="28"/>
          <w:szCs w:val="28"/>
        </w:rPr>
        <w:t>, which in his usual way were clearly expressed</w:t>
      </w:r>
      <w:r w:rsidR="006F2DB8">
        <w:rPr>
          <w:rFonts w:ascii="Arial Narrow" w:hAnsi="Arial Narrow"/>
          <w:sz w:val="28"/>
          <w:szCs w:val="28"/>
        </w:rPr>
        <w:t xml:space="preserve"> and </w:t>
      </w:r>
      <w:r w:rsidR="00543A0E">
        <w:rPr>
          <w:rFonts w:ascii="Arial Narrow" w:hAnsi="Arial Narrow"/>
          <w:sz w:val="28"/>
          <w:szCs w:val="28"/>
        </w:rPr>
        <w:t>given with detailed reasoning.</w:t>
      </w:r>
    </w:p>
    <w:p w14:paraId="1FB138D7" w14:textId="77777777" w:rsidR="00543A0E" w:rsidRPr="00543A0E" w:rsidRDefault="00543A0E" w:rsidP="00543A0E">
      <w:pPr>
        <w:pStyle w:val="ListParagraph"/>
        <w:rPr>
          <w:rFonts w:ascii="Arial Narrow" w:hAnsi="Arial Narrow"/>
          <w:sz w:val="28"/>
          <w:szCs w:val="28"/>
        </w:rPr>
      </w:pPr>
    </w:p>
    <w:p w14:paraId="1E7593BB" w14:textId="33D9152B" w:rsidR="00543A0E" w:rsidRDefault="00543A0E" w:rsidP="003F1497">
      <w:pPr>
        <w:pStyle w:val="ListParagraph"/>
        <w:numPr>
          <w:ilvl w:val="0"/>
          <w:numId w:val="4"/>
        </w:numPr>
        <w:tabs>
          <w:tab w:val="left" w:pos="567"/>
        </w:tabs>
        <w:spacing w:line="360" w:lineRule="auto"/>
        <w:ind w:left="567" w:hanging="567"/>
        <w:jc w:val="both"/>
        <w:rPr>
          <w:rFonts w:ascii="Arial Narrow" w:hAnsi="Arial Narrow"/>
          <w:sz w:val="28"/>
          <w:szCs w:val="28"/>
        </w:rPr>
      </w:pPr>
      <w:r>
        <w:rPr>
          <w:rFonts w:ascii="Arial Narrow" w:hAnsi="Arial Narrow"/>
          <w:sz w:val="28"/>
          <w:szCs w:val="28"/>
        </w:rPr>
        <w:t xml:space="preserve">However, the decision of the Court of Appeal serves to reinforce the </w:t>
      </w:r>
      <w:r w:rsidR="0003617C">
        <w:rPr>
          <w:rFonts w:ascii="Arial Narrow" w:hAnsi="Arial Narrow"/>
          <w:sz w:val="28"/>
          <w:szCs w:val="28"/>
        </w:rPr>
        <w:t xml:space="preserve">extremely high bar that </w:t>
      </w:r>
      <w:proofErr w:type="gramStart"/>
      <w:r w:rsidR="0003617C">
        <w:rPr>
          <w:rFonts w:ascii="Arial Narrow" w:hAnsi="Arial Narrow"/>
          <w:sz w:val="28"/>
          <w:szCs w:val="28"/>
        </w:rPr>
        <w:t>has to</w:t>
      </w:r>
      <w:proofErr w:type="gramEnd"/>
      <w:r w:rsidR="0003617C">
        <w:rPr>
          <w:rFonts w:ascii="Arial Narrow" w:hAnsi="Arial Narrow"/>
          <w:sz w:val="28"/>
          <w:szCs w:val="28"/>
        </w:rPr>
        <w:t xml:space="preserve"> be overtopped to establish that a will was procured by </w:t>
      </w:r>
      <w:r w:rsidR="0003617C">
        <w:rPr>
          <w:rFonts w:ascii="Arial Narrow" w:hAnsi="Arial Narrow"/>
          <w:sz w:val="28"/>
          <w:szCs w:val="28"/>
        </w:rPr>
        <w:lastRenderedPageBreak/>
        <w:t>undue influence</w:t>
      </w:r>
      <w:r w:rsidR="008529A4">
        <w:rPr>
          <w:rFonts w:ascii="Arial Narrow" w:hAnsi="Arial Narrow"/>
          <w:sz w:val="28"/>
          <w:szCs w:val="28"/>
        </w:rPr>
        <w:t xml:space="preserve"> in the usual case, as here, </w:t>
      </w:r>
      <w:r w:rsidR="00D47335">
        <w:rPr>
          <w:rFonts w:ascii="Arial Narrow" w:hAnsi="Arial Narrow"/>
          <w:sz w:val="28"/>
          <w:szCs w:val="28"/>
        </w:rPr>
        <w:t>where there is no evidence of actual force or coercion to support the allegation of undue influence.</w:t>
      </w:r>
    </w:p>
    <w:p w14:paraId="5D535905" w14:textId="77777777" w:rsidR="008259DC" w:rsidRPr="008259DC" w:rsidRDefault="008259DC" w:rsidP="008259DC">
      <w:pPr>
        <w:pStyle w:val="ListParagraph"/>
        <w:rPr>
          <w:rFonts w:ascii="Arial Narrow" w:hAnsi="Arial Narrow"/>
          <w:sz w:val="28"/>
          <w:szCs w:val="28"/>
        </w:rPr>
      </w:pPr>
    </w:p>
    <w:p w14:paraId="355A1E90" w14:textId="4033316D" w:rsidR="008259DC" w:rsidRDefault="003C1917" w:rsidP="003F1497">
      <w:pPr>
        <w:pStyle w:val="ListParagraph"/>
        <w:numPr>
          <w:ilvl w:val="0"/>
          <w:numId w:val="4"/>
        </w:numPr>
        <w:tabs>
          <w:tab w:val="left" w:pos="567"/>
        </w:tabs>
        <w:spacing w:line="360" w:lineRule="auto"/>
        <w:ind w:left="567" w:hanging="567"/>
        <w:jc w:val="both"/>
        <w:rPr>
          <w:rFonts w:ascii="Arial Narrow" w:hAnsi="Arial Narrow"/>
          <w:sz w:val="28"/>
          <w:szCs w:val="28"/>
        </w:rPr>
      </w:pPr>
      <w:r>
        <w:rPr>
          <w:rFonts w:ascii="Arial Narrow" w:hAnsi="Arial Narrow"/>
          <w:sz w:val="28"/>
          <w:szCs w:val="28"/>
        </w:rPr>
        <w:t xml:space="preserve">In this case, the testator had made a will in 2015 in favour of </w:t>
      </w:r>
      <w:r w:rsidR="009C5C45">
        <w:rPr>
          <w:rFonts w:ascii="Arial Narrow" w:hAnsi="Arial Narrow"/>
          <w:sz w:val="28"/>
          <w:szCs w:val="28"/>
        </w:rPr>
        <w:t xml:space="preserve">her </w:t>
      </w:r>
      <w:proofErr w:type="gramStart"/>
      <w:r w:rsidR="009C5C45">
        <w:rPr>
          <w:rFonts w:ascii="Arial Narrow" w:hAnsi="Arial Narrow"/>
          <w:sz w:val="28"/>
          <w:szCs w:val="28"/>
        </w:rPr>
        <w:t>daughter, and</w:t>
      </w:r>
      <w:proofErr w:type="gramEnd"/>
      <w:r w:rsidR="009C5C45">
        <w:rPr>
          <w:rFonts w:ascii="Arial Narrow" w:hAnsi="Arial Narrow"/>
          <w:sz w:val="28"/>
          <w:szCs w:val="28"/>
        </w:rPr>
        <w:t xml:space="preserve"> excluding her three sons.</w:t>
      </w:r>
      <w:r w:rsidR="00F34F2D">
        <w:rPr>
          <w:rFonts w:ascii="Arial Narrow" w:hAnsi="Arial Narrow"/>
          <w:sz w:val="28"/>
          <w:szCs w:val="28"/>
        </w:rPr>
        <w:t xml:space="preserve">  She had made an earlier will, </w:t>
      </w:r>
      <w:r w:rsidR="00A44E98">
        <w:rPr>
          <w:rFonts w:ascii="Arial Narrow" w:hAnsi="Arial Narrow"/>
          <w:sz w:val="28"/>
          <w:szCs w:val="28"/>
        </w:rPr>
        <w:t>nearly</w:t>
      </w:r>
      <w:r w:rsidR="00F34F2D">
        <w:rPr>
          <w:rFonts w:ascii="Arial Narrow" w:hAnsi="Arial Narrow"/>
          <w:sz w:val="28"/>
          <w:szCs w:val="28"/>
        </w:rPr>
        <w:t xml:space="preserve"> 30 years before, divi</w:t>
      </w:r>
      <w:r w:rsidR="00D1577E">
        <w:rPr>
          <w:rFonts w:ascii="Arial Narrow" w:hAnsi="Arial Narrow"/>
          <w:sz w:val="28"/>
          <w:szCs w:val="28"/>
        </w:rPr>
        <w:t>di</w:t>
      </w:r>
      <w:r w:rsidR="00F34F2D">
        <w:rPr>
          <w:rFonts w:ascii="Arial Narrow" w:hAnsi="Arial Narrow"/>
          <w:sz w:val="28"/>
          <w:szCs w:val="28"/>
        </w:rPr>
        <w:t>ng her estate equally between her four children.  The 2015 will was professionally prepared</w:t>
      </w:r>
      <w:r w:rsidR="00264AD7">
        <w:rPr>
          <w:rFonts w:ascii="Arial Narrow" w:hAnsi="Arial Narrow"/>
          <w:sz w:val="28"/>
          <w:szCs w:val="28"/>
        </w:rPr>
        <w:t>.  The instructions for the will were given to the solicitor at a meeting in the presence of the daughter</w:t>
      </w:r>
      <w:r w:rsidR="00553501">
        <w:rPr>
          <w:rFonts w:ascii="Arial Narrow" w:hAnsi="Arial Narrow"/>
          <w:sz w:val="28"/>
          <w:szCs w:val="28"/>
        </w:rPr>
        <w:t xml:space="preserve">, though was later executed at a second meeting when the daughter was not present.  The solicitor </w:t>
      </w:r>
      <w:r w:rsidR="007C0D0C">
        <w:rPr>
          <w:rFonts w:ascii="Arial Narrow" w:hAnsi="Arial Narrow"/>
          <w:sz w:val="28"/>
          <w:szCs w:val="28"/>
        </w:rPr>
        <w:t xml:space="preserve">sought a medical opinion on the testator’s capacity before the will was executed because of her age and his concern </w:t>
      </w:r>
      <w:r w:rsidR="009B3464">
        <w:rPr>
          <w:rFonts w:ascii="Arial Narrow" w:hAnsi="Arial Narrow"/>
          <w:sz w:val="28"/>
          <w:szCs w:val="28"/>
        </w:rPr>
        <w:t xml:space="preserve">about the exclusion of the sons, but the doctor opined that </w:t>
      </w:r>
      <w:r w:rsidR="00295123">
        <w:rPr>
          <w:rFonts w:ascii="Arial Narrow" w:hAnsi="Arial Narrow"/>
          <w:sz w:val="28"/>
          <w:szCs w:val="28"/>
        </w:rPr>
        <w:t>the testator had capacity and he had no r</w:t>
      </w:r>
      <w:r w:rsidR="00FA74A6">
        <w:rPr>
          <w:rFonts w:ascii="Arial Narrow" w:hAnsi="Arial Narrow"/>
          <w:sz w:val="28"/>
          <w:szCs w:val="28"/>
        </w:rPr>
        <w:t>eason to believe she was being coerced or was under undue influence.</w:t>
      </w:r>
    </w:p>
    <w:p w14:paraId="5EC89B9A" w14:textId="77777777" w:rsidR="00E92668" w:rsidRPr="00E92668" w:rsidRDefault="00E92668" w:rsidP="00E92668">
      <w:pPr>
        <w:pStyle w:val="ListParagraph"/>
        <w:rPr>
          <w:rFonts w:ascii="Arial Narrow" w:hAnsi="Arial Narrow"/>
          <w:sz w:val="28"/>
          <w:szCs w:val="28"/>
        </w:rPr>
      </w:pPr>
    </w:p>
    <w:p w14:paraId="53221D3D" w14:textId="4F706E82" w:rsidR="00E92668" w:rsidRDefault="00E92668" w:rsidP="003F1497">
      <w:pPr>
        <w:pStyle w:val="ListParagraph"/>
        <w:numPr>
          <w:ilvl w:val="0"/>
          <w:numId w:val="4"/>
        </w:numPr>
        <w:tabs>
          <w:tab w:val="left" w:pos="567"/>
        </w:tabs>
        <w:spacing w:line="360" w:lineRule="auto"/>
        <w:ind w:left="567" w:hanging="567"/>
        <w:jc w:val="both"/>
        <w:rPr>
          <w:rFonts w:ascii="Arial Narrow" w:hAnsi="Arial Narrow"/>
          <w:sz w:val="28"/>
          <w:szCs w:val="28"/>
        </w:rPr>
      </w:pPr>
      <w:r>
        <w:rPr>
          <w:rFonts w:ascii="Arial Narrow" w:hAnsi="Arial Narrow"/>
          <w:sz w:val="28"/>
          <w:szCs w:val="28"/>
        </w:rPr>
        <w:t xml:space="preserve">The Court of Appeal reviewed the usual authorities in relation to </w:t>
      </w:r>
      <w:r w:rsidR="00F22638">
        <w:rPr>
          <w:rFonts w:ascii="Arial Narrow" w:hAnsi="Arial Narrow"/>
          <w:sz w:val="28"/>
          <w:szCs w:val="28"/>
        </w:rPr>
        <w:t xml:space="preserve">the requirements for </w:t>
      </w:r>
      <w:r>
        <w:rPr>
          <w:rFonts w:ascii="Arial Narrow" w:hAnsi="Arial Narrow"/>
          <w:sz w:val="28"/>
          <w:szCs w:val="28"/>
        </w:rPr>
        <w:t xml:space="preserve">undue influence in probate cases, including </w:t>
      </w:r>
      <w:r>
        <w:rPr>
          <w:rFonts w:ascii="Arial Narrow" w:hAnsi="Arial Narrow"/>
          <w:b/>
          <w:bCs/>
          <w:sz w:val="28"/>
          <w:szCs w:val="28"/>
          <w:u w:val="single"/>
        </w:rPr>
        <w:t>Hall v Hall</w:t>
      </w:r>
      <w:r>
        <w:rPr>
          <w:rFonts w:ascii="Arial Narrow" w:hAnsi="Arial Narrow"/>
          <w:b/>
          <w:bCs/>
          <w:sz w:val="28"/>
          <w:szCs w:val="28"/>
        </w:rPr>
        <w:t xml:space="preserve"> (</w:t>
      </w:r>
      <w:r w:rsidR="00726B49">
        <w:rPr>
          <w:rFonts w:ascii="Arial Narrow" w:hAnsi="Arial Narrow"/>
          <w:b/>
          <w:bCs/>
          <w:sz w:val="28"/>
          <w:szCs w:val="28"/>
        </w:rPr>
        <w:t>1865-9) LR 1 P&amp;D 481</w:t>
      </w:r>
      <w:r w:rsidR="00726B49">
        <w:rPr>
          <w:rFonts w:ascii="Arial Narrow" w:hAnsi="Arial Narrow"/>
          <w:sz w:val="28"/>
          <w:szCs w:val="28"/>
        </w:rPr>
        <w:t xml:space="preserve"> (</w:t>
      </w:r>
      <w:r w:rsidR="00733DD9">
        <w:rPr>
          <w:rFonts w:ascii="Arial Narrow" w:hAnsi="Arial Narrow"/>
          <w:sz w:val="28"/>
          <w:szCs w:val="28"/>
        </w:rPr>
        <w:t>“</w:t>
      </w:r>
      <w:r w:rsidR="00CF37C9">
        <w:rPr>
          <w:rFonts w:ascii="Arial Narrow" w:hAnsi="Arial Narrow"/>
          <w:sz w:val="28"/>
          <w:szCs w:val="28"/>
        </w:rPr>
        <w:t>a</w:t>
      </w:r>
      <w:r w:rsidR="00726B49">
        <w:rPr>
          <w:rFonts w:ascii="Arial Narrow" w:hAnsi="Arial Narrow"/>
          <w:sz w:val="28"/>
          <w:szCs w:val="28"/>
        </w:rPr>
        <w:t xml:space="preserve"> testator m</w:t>
      </w:r>
      <w:r w:rsidR="006C3B90">
        <w:rPr>
          <w:rFonts w:ascii="Arial Narrow" w:hAnsi="Arial Narrow"/>
          <w:sz w:val="28"/>
          <w:szCs w:val="28"/>
        </w:rPr>
        <w:t>ay be led but not driven</w:t>
      </w:r>
      <w:r w:rsidR="00733DD9">
        <w:rPr>
          <w:rFonts w:ascii="Arial Narrow" w:hAnsi="Arial Narrow"/>
          <w:sz w:val="28"/>
          <w:szCs w:val="28"/>
        </w:rPr>
        <w:t>”</w:t>
      </w:r>
      <w:r w:rsidR="00F22638">
        <w:rPr>
          <w:rFonts w:ascii="Arial Narrow" w:hAnsi="Arial Narrow"/>
          <w:sz w:val="28"/>
          <w:szCs w:val="28"/>
        </w:rPr>
        <w:t>)</w:t>
      </w:r>
      <w:r w:rsidR="005705AA" w:rsidRPr="005705AA">
        <w:rPr>
          <w:rFonts w:ascii="Source Sans Pro" w:hAnsi="Source Sans Pro"/>
          <w:color w:val="1F1F1F"/>
          <w:sz w:val="27"/>
          <w:szCs w:val="27"/>
          <w:shd w:val="clear" w:color="auto" w:fill="FFFFFF"/>
        </w:rPr>
        <w:t xml:space="preserve"> </w:t>
      </w:r>
      <w:r w:rsidR="006C3B90">
        <w:rPr>
          <w:rFonts w:ascii="Arial Narrow" w:hAnsi="Arial Narrow"/>
          <w:sz w:val="28"/>
          <w:szCs w:val="28"/>
        </w:rPr>
        <w:t xml:space="preserve">and </w:t>
      </w:r>
      <w:proofErr w:type="spellStart"/>
      <w:r w:rsidR="006C3B90">
        <w:rPr>
          <w:rFonts w:ascii="Arial Narrow" w:hAnsi="Arial Narrow"/>
          <w:b/>
          <w:bCs/>
          <w:sz w:val="28"/>
          <w:szCs w:val="28"/>
          <w:u w:val="single"/>
        </w:rPr>
        <w:t>Wingrove</w:t>
      </w:r>
      <w:proofErr w:type="spellEnd"/>
      <w:r w:rsidR="006C3B90">
        <w:rPr>
          <w:rFonts w:ascii="Arial Narrow" w:hAnsi="Arial Narrow"/>
          <w:b/>
          <w:bCs/>
          <w:sz w:val="28"/>
          <w:szCs w:val="28"/>
          <w:u w:val="single"/>
        </w:rPr>
        <w:t xml:space="preserve"> v </w:t>
      </w:r>
      <w:proofErr w:type="spellStart"/>
      <w:r w:rsidR="006C3B90">
        <w:rPr>
          <w:rFonts w:ascii="Arial Narrow" w:hAnsi="Arial Narrow"/>
          <w:b/>
          <w:bCs/>
          <w:sz w:val="28"/>
          <w:szCs w:val="28"/>
          <w:u w:val="single"/>
        </w:rPr>
        <w:t>Wingrove</w:t>
      </w:r>
      <w:proofErr w:type="spellEnd"/>
      <w:r w:rsidR="00CF566D">
        <w:rPr>
          <w:rFonts w:ascii="Arial Narrow" w:hAnsi="Arial Narrow"/>
          <w:b/>
          <w:bCs/>
          <w:sz w:val="28"/>
          <w:szCs w:val="28"/>
        </w:rPr>
        <w:t xml:space="preserve"> (1885) </w:t>
      </w:r>
      <w:r w:rsidR="00733DD9">
        <w:rPr>
          <w:rFonts w:ascii="Arial Narrow" w:hAnsi="Arial Narrow"/>
          <w:b/>
          <w:bCs/>
          <w:sz w:val="28"/>
          <w:szCs w:val="28"/>
        </w:rPr>
        <w:t>11 PD 81</w:t>
      </w:r>
      <w:r w:rsidR="00733DD9">
        <w:rPr>
          <w:rFonts w:ascii="Arial Narrow" w:hAnsi="Arial Narrow"/>
          <w:sz w:val="28"/>
          <w:szCs w:val="28"/>
        </w:rPr>
        <w:t xml:space="preserve"> (“</w:t>
      </w:r>
      <w:r w:rsidR="005705AA">
        <w:rPr>
          <w:rFonts w:ascii="Arial Narrow" w:hAnsi="Arial Narrow"/>
          <w:sz w:val="28"/>
          <w:szCs w:val="28"/>
        </w:rPr>
        <w:t>i</w:t>
      </w:r>
      <w:r w:rsidR="005705AA" w:rsidRPr="005705AA">
        <w:rPr>
          <w:rFonts w:ascii="Arial Narrow" w:hAnsi="Arial Narrow"/>
          <w:sz w:val="28"/>
          <w:szCs w:val="28"/>
        </w:rPr>
        <w:t xml:space="preserve">f he could speak his wishes to the last, he would say, </w:t>
      </w:r>
      <w:r w:rsidR="00E03E0B">
        <w:rPr>
          <w:rFonts w:ascii="Arial Narrow" w:hAnsi="Arial Narrow"/>
          <w:sz w:val="28"/>
          <w:szCs w:val="28"/>
        </w:rPr>
        <w:t>‘</w:t>
      </w:r>
      <w:r w:rsidR="005705AA" w:rsidRPr="005705AA">
        <w:rPr>
          <w:rFonts w:ascii="Arial Narrow" w:hAnsi="Arial Narrow"/>
          <w:sz w:val="28"/>
          <w:szCs w:val="28"/>
        </w:rPr>
        <w:t>this is not my wish, but I must do it</w:t>
      </w:r>
      <w:r w:rsidR="00E03E0B">
        <w:rPr>
          <w:rFonts w:ascii="Arial Narrow" w:hAnsi="Arial Narrow"/>
          <w:sz w:val="28"/>
          <w:szCs w:val="28"/>
        </w:rPr>
        <w:t>’”</w:t>
      </w:r>
      <w:r w:rsidR="005705AA">
        <w:rPr>
          <w:rFonts w:ascii="Arial Narrow" w:hAnsi="Arial Narrow"/>
          <w:sz w:val="28"/>
          <w:szCs w:val="28"/>
        </w:rPr>
        <w:t>)</w:t>
      </w:r>
      <w:r w:rsidR="00E03E0B">
        <w:rPr>
          <w:rFonts w:ascii="Arial Narrow" w:hAnsi="Arial Narrow"/>
          <w:sz w:val="28"/>
          <w:szCs w:val="28"/>
        </w:rPr>
        <w:t>.</w:t>
      </w:r>
    </w:p>
    <w:p w14:paraId="4CF52777" w14:textId="77777777" w:rsidR="00CA295F" w:rsidRPr="00CA295F" w:rsidRDefault="00CA295F" w:rsidP="00CA295F">
      <w:pPr>
        <w:pStyle w:val="ListParagraph"/>
        <w:rPr>
          <w:rFonts w:ascii="Arial Narrow" w:hAnsi="Arial Narrow"/>
          <w:sz w:val="28"/>
          <w:szCs w:val="28"/>
        </w:rPr>
      </w:pPr>
    </w:p>
    <w:p w14:paraId="09C45B74" w14:textId="12EC61EA" w:rsidR="00CA295F" w:rsidRPr="00522851" w:rsidRDefault="00CA295F" w:rsidP="003F1497">
      <w:pPr>
        <w:pStyle w:val="ListParagraph"/>
        <w:numPr>
          <w:ilvl w:val="0"/>
          <w:numId w:val="4"/>
        </w:numPr>
        <w:tabs>
          <w:tab w:val="left" w:pos="567"/>
        </w:tabs>
        <w:spacing w:line="360" w:lineRule="auto"/>
        <w:ind w:left="567" w:hanging="567"/>
        <w:jc w:val="both"/>
        <w:rPr>
          <w:rFonts w:ascii="Arial Narrow" w:hAnsi="Arial Narrow"/>
          <w:sz w:val="28"/>
          <w:szCs w:val="28"/>
        </w:rPr>
      </w:pPr>
      <w:r>
        <w:rPr>
          <w:rFonts w:ascii="Arial Narrow" w:hAnsi="Arial Narrow"/>
          <w:sz w:val="28"/>
          <w:szCs w:val="28"/>
        </w:rPr>
        <w:t xml:space="preserve">In relation to the burden and standard of proof, </w:t>
      </w:r>
      <w:r w:rsidR="00094D1A">
        <w:rPr>
          <w:rFonts w:ascii="Arial Narrow" w:hAnsi="Arial Narrow"/>
          <w:sz w:val="28"/>
          <w:szCs w:val="28"/>
        </w:rPr>
        <w:t>Newey LJ after considering the authorities expressed the position in the following terms: “</w:t>
      </w:r>
      <w:r w:rsidR="006264C2" w:rsidRPr="006264C2">
        <w:rPr>
          <w:rFonts w:ascii="Arial Narrow" w:hAnsi="Arial Narrow"/>
          <w:sz w:val="28"/>
          <w:szCs w:val="28"/>
        </w:rPr>
        <w:t xml:space="preserve">I would accept that undue influence can be proved without demonstrating that the circumstances are necessarily inconsistent with any alternative hypothesis. On the other hand, the circumstances must be such that undue influence is more probable than any other hypothesis. If another possibility is just as likely, undue influence will not have been established. When making that assessment, moreover, it may </w:t>
      </w:r>
      <w:r w:rsidR="006264C2" w:rsidRPr="00522851">
        <w:rPr>
          <w:rFonts w:ascii="Arial Narrow" w:hAnsi="Arial Narrow"/>
          <w:sz w:val="28"/>
          <w:szCs w:val="28"/>
        </w:rPr>
        <w:lastRenderedPageBreak/>
        <w:t>well be appropriate to proceed on the basis that undue influence is inherently improbable” (para.32).</w:t>
      </w:r>
    </w:p>
    <w:p w14:paraId="61684049" w14:textId="77777777" w:rsidR="00A901AE" w:rsidRPr="00522851" w:rsidRDefault="00A901AE" w:rsidP="00A901AE">
      <w:pPr>
        <w:pStyle w:val="ListParagraph"/>
        <w:rPr>
          <w:rFonts w:ascii="Arial Narrow" w:hAnsi="Arial Narrow"/>
          <w:sz w:val="28"/>
          <w:szCs w:val="28"/>
        </w:rPr>
      </w:pPr>
    </w:p>
    <w:p w14:paraId="0C7657CE" w14:textId="03EAF304" w:rsidR="00B72F96" w:rsidRPr="00522851" w:rsidRDefault="00A901AE" w:rsidP="00B72F96">
      <w:pPr>
        <w:pStyle w:val="ListParagraph"/>
        <w:numPr>
          <w:ilvl w:val="0"/>
          <w:numId w:val="4"/>
        </w:numPr>
        <w:tabs>
          <w:tab w:val="left" w:pos="567"/>
        </w:tabs>
        <w:spacing w:line="360" w:lineRule="auto"/>
        <w:ind w:left="567" w:hanging="567"/>
        <w:jc w:val="both"/>
        <w:rPr>
          <w:rFonts w:ascii="Arial Narrow" w:hAnsi="Arial Narrow"/>
          <w:sz w:val="28"/>
          <w:szCs w:val="28"/>
        </w:rPr>
      </w:pPr>
      <w:r w:rsidRPr="00522851">
        <w:rPr>
          <w:rFonts w:ascii="Arial Narrow" w:hAnsi="Arial Narrow"/>
          <w:sz w:val="28"/>
          <w:szCs w:val="28"/>
        </w:rPr>
        <w:t xml:space="preserve">Strangely, </w:t>
      </w:r>
      <w:r w:rsidR="007B4205" w:rsidRPr="00522851">
        <w:rPr>
          <w:rFonts w:ascii="Arial Narrow" w:hAnsi="Arial Narrow"/>
          <w:sz w:val="28"/>
          <w:szCs w:val="28"/>
        </w:rPr>
        <w:t xml:space="preserve">there did not appear to be any reference in the Court of Appeal to the judgment of </w:t>
      </w:r>
      <w:r w:rsidR="00B72F96" w:rsidRPr="00522851">
        <w:rPr>
          <w:rFonts w:ascii="Arial Narrow" w:hAnsi="Arial Narrow"/>
          <w:sz w:val="28"/>
          <w:szCs w:val="28"/>
        </w:rPr>
        <w:t xml:space="preserve">Lewison J in </w:t>
      </w:r>
      <w:r w:rsidR="00B72F96" w:rsidRPr="00522851">
        <w:rPr>
          <w:rFonts w:ascii="Arial Narrow" w:hAnsi="Arial Narrow"/>
          <w:b/>
          <w:bCs/>
          <w:sz w:val="28"/>
          <w:szCs w:val="28"/>
          <w:u w:val="single"/>
        </w:rPr>
        <w:t>Re Edwards</w:t>
      </w:r>
      <w:r w:rsidR="00B72F96" w:rsidRPr="00522851">
        <w:rPr>
          <w:rFonts w:ascii="Arial Narrow" w:hAnsi="Arial Narrow"/>
          <w:b/>
          <w:bCs/>
          <w:sz w:val="28"/>
          <w:szCs w:val="28"/>
        </w:rPr>
        <w:t xml:space="preserve"> [2007] EWHC 1119 (Ch)</w:t>
      </w:r>
      <w:r w:rsidR="00B72F96" w:rsidRPr="00522851">
        <w:rPr>
          <w:rFonts w:ascii="Arial Narrow" w:hAnsi="Arial Narrow"/>
          <w:sz w:val="28"/>
          <w:szCs w:val="28"/>
        </w:rPr>
        <w:t xml:space="preserve"> at para.49, wh</w:t>
      </w:r>
      <w:r w:rsidR="00D129B1">
        <w:rPr>
          <w:rFonts w:ascii="Arial Narrow" w:hAnsi="Arial Narrow"/>
          <w:sz w:val="28"/>
          <w:szCs w:val="28"/>
        </w:rPr>
        <w:t>ere he provided a summary in relation to undue influence in probate cases</w:t>
      </w:r>
      <w:r w:rsidR="00BA04EC">
        <w:rPr>
          <w:rFonts w:ascii="Arial Narrow" w:hAnsi="Arial Narrow"/>
          <w:sz w:val="28"/>
          <w:szCs w:val="28"/>
        </w:rPr>
        <w:t>:</w:t>
      </w:r>
    </w:p>
    <w:p w14:paraId="3313358E" w14:textId="77777777" w:rsidR="00B72F96" w:rsidRPr="00522851" w:rsidRDefault="00B72F96" w:rsidP="00B72F96">
      <w:pPr>
        <w:tabs>
          <w:tab w:val="left" w:pos="567"/>
        </w:tabs>
        <w:spacing w:line="360" w:lineRule="auto"/>
        <w:ind w:left="567"/>
        <w:jc w:val="both"/>
        <w:rPr>
          <w:rFonts w:ascii="Arial Narrow" w:hAnsi="Arial Narrow"/>
          <w:sz w:val="28"/>
          <w:szCs w:val="28"/>
        </w:rPr>
      </w:pPr>
      <w:r w:rsidRPr="00522851">
        <w:rPr>
          <w:rFonts w:ascii="Arial Narrow" w:hAnsi="Arial Narrow"/>
          <w:sz w:val="28"/>
          <w:szCs w:val="28"/>
        </w:rPr>
        <w:t>“</w:t>
      </w:r>
      <w:proofErr w:type="spellStart"/>
      <w:r w:rsidRPr="00522851">
        <w:rPr>
          <w:rFonts w:ascii="Arial Narrow" w:hAnsi="Arial Narrow"/>
          <w:sz w:val="28"/>
          <w:szCs w:val="28"/>
        </w:rPr>
        <w:t>i</w:t>
      </w:r>
      <w:proofErr w:type="spellEnd"/>
      <w:r w:rsidRPr="00522851">
        <w:rPr>
          <w:rFonts w:ascii="Arial Narrow" w:hAnsi="Arial Narrow"/>
          <w:sz w:val="28"/>
          <w:szCs w:val="28"/>
        </w:rPr>
        <w:t xml:space="preserve">) In a case of a testamentary disposition of assets, unlike a lifetime disposition, there is no presumption of undue </w:t>
      </w:r>
      <w:proofErr w:type="gramStart"/>
      <w:r w:rsidRPr="00522851">
        <w:rPr>
          <w:rFonts w:ascii="Arial Narrow" w:hAnsi="Arial Narrow"/>
          <w:sz w:val="28"/>
          <w:szCs w:val="28"/>
        </w:rPr>
        <w:t>influence;</w:t>
      </w:r>
      <w:proofErr w:type="gramEnd"/>
    </w:p>
    <w:p w14:paraId="02FA5983" w14:textId="77777777" w:rsidR="00B72F96" w:rsidRPr="00522851" w:rsidRDefault="00B72F96" w:rsidP="00B72F96">
      <w:pPr>
        <w:tabs>
          <w:tab w:val="left" w:pos="567"/>
        </w:tabs>
        <w:spacing w:line="360" w:lineRule="auto"/>
        <w:ind w:left="567"/>
        <w:jc w:val="both"/>
        <w:rPr>
          <w:rFonts w:ascii="Arial Narrow" w:hAnsi="Arial Narrow"/>
          <w:sz w:val="28"/>
          <w:szCs w:val="28"/>
        </w:rPr>
      </w:pPr>
      <w:r w:rsidRPr="00522851">
        <w:rPr>
          <w:rFonts w:ascii="Arial Narrow" w:hAnsi="Arial Narrow"/>
          <w:sz w:val="28"/>
          <w:szCs w:val="28"/>
        </w:rPr>
        <w:t xml:space="preserve">ii) Whether undue influence has procured the execution of a will is therefore a question of </w:t>
      </w:r>
      <w:proofErr w:type="gramStart"/>
      <w:r w:rsidRPr="00522851">
        <w:rPr>
          <w:rFonts w:ascii="Arial Narrow" w:hAnsi="Arial Narrow"/>
          <w:sz w:val="28"/>
          <w:szCs w:val="28"/>
        </w:rPr>
        <w:t>fact;</w:t>
      </w:r>
      <w:proofErr w:type="gramEnd"/>
    </w:p>
    <w:p w14:paraId="5948B0A8" w14:textId="77777777" w:rsidR="00B72F96" w:rsidRPr="00522851" w:rsidRDefault="00B72F96" w:rsidP="00B72F96">
      <w:pPr>
        <w:tabs>
          <w:tab w:val="left" w:pos="567"/>
        </w:tabs>
        <w:spacing w:line="360" w:lineRule="auto"/>
        <w:ind w:left="567"/>
        <w:jc w:val="both"/>
        <w:rPr>
          <w:rFonts w:ascii="Arial Narrow" w:hAnsi="Arial Narrow"/>
          <w:sz w:val="28"/>
          <w:szCs w:val="28"/>
        </w:rPr>
      </w:pPr>
      <w:r w:rsidRPr="00522851">
        <w:rPr>
          <w:rFonts w:ascii="Arial Narrow" w:hAnsi="Arial Narrow"/>
          <w:sz w:val="28"/>
          <w:szCs w:val="28"/>
        </w:rPr>
        <w:t xml:space="preserve">iii) The burden of proving it lies on the person who asserts it.  It is not enough to prove that the facts are consistent with the hypothesis of undue influence.  What must be shown is that the facts are inconsistent with any other hypothesis.  In modern law this is, perhaps, no more than a reminder of the high burden, even on the civil standard, that a claimant bears in proving undue influence as vitiating a testamentary </w:t>
      </w:r>
      <w:proofErr w:type="gramStart"/>
      <w:r w:rsidRPr="00522851">
        <w:rPr>
          <w:rFonts w:ascii="Arial Narrow" w:hAnsi="Arial Narrow"/>
          <w:sz w:val="28"/>
          <w:szCs w:val="28"/>
        </w:rPr>
        <w:t>disposition;</w:t>
      </w:r>
      <w:proofErr w:type="gramEnd"/>
    </w:p>
    <w:p w14:paraId="54AE1478" w14:textId="77777777" w:rsidR="00B72F96" w:rsidRPr="00522851" w:rsidRDefault="00B72F96" w:rsidP="00B72F96">
      <w:pPr>
        <w:tabs>
          <w:tab w:val="left" w:pos="567"/>
        </w:tabs>
        <w:spacing w:line="360" w:lineRule="auto"/>
        <w:ind w:left="567"/>
        <w:jc w:val="both"/>
        <w:rPr>
          <w:rFonts w:ascii="Arial Narrow" w:hAnsi="Arial Narrow"/>
          <w:sz w:val="28"/>
          <w:szCs w:val="28"/>
        </w:rPr>
      </w:pPr>
      <w:r w:rsidRPr="00522851">
        <w:rPr>
          <w:rFonts w:ascii="Arial Narrow" w:hAnsi="Arial Narrow"/>
          <w:sz w:val="28"/>
          <w:szCs w:val="28"/>
        </w:rPr>
        <w:t xml:space="preserve">iv) In this context undue influence means influence exercised either by coercion, in the sense that the testator’s will must be overborne, or by </w:t>
      </w:r>
      <w:proofErr w:type="gramStart"/>
      <w:r w:rsidRPr="00522851">
        <w:rPr>
          <w:rFonts w:ascii="Arial Narrow" w:hAnsi="Arial Narrow"/>
          <w:sz w:val="28"/>
          <w:szCs w:val="28"/>
        </w:rPr>
        <w:t>fraud;</w:t>
      </w:r>
      <w:proofErr w:type="gramEnd"/>
    </w:p>
    <w:p w14:paraId="35541E9B" w14:textId="77777777" w:rsidR="00B72F96" w:rsidRPr="00522851" w:rsidRDefault="00B72F96" w:rsidP="00B72F96">
      <w:pPr>
        <w:tabs>
          <w:tab w:val="left" w:pos="567"/>
        </w:tabs>
        <w:spacing w:line="360" w:lineRule="auto"/>
        <w:ind w:left="567"/>
        <w:jc w:val="both"/>
        <w:rPr>
          <w:rFonts w:ascii="Arial Narrow" w:hAnsi="Arial Narrow"/>
          <w:sz w:val="28"/>
          <w:szCs w:val="28"/>
        </w:rPr>
      </w:pPr>
      <w:r w:rsidRPr="00522851">
        <w:rPr>
          <w:rFonts w:ascii="Arial Narrow" w:hAnsi="Arial Narrow"/>
          <w:sz w:val="28"/>
          <w:szCs w:val="28"/>
        </w:rPr>
        <w:t xml:space="preserve">v) Coercion is pressure that overpowers the volition without convincing the testator’s judgment. It is to be distinguished from mere persuasion, appeals to ties of affection or pity for future destitution, all of which are legitimate.  Pressure which causes a testator to succumb for the sake of a quiet life, if carried to an extent that overbears the testator’s free judgment, discretion or wishes, is enough to amount to coercion in this </w:t>
      </w:r>
      <w:proofErr w:type="gramStart"/>
      <w:r w:rsidRPr="00522851">
        <w:rPr>
          <w:rFonts w:ascii="Arial Narrow" w:hAnsi="Arial Narrow"/>
          <w:sz w:val="28"/>
          <w:szCs w:val="28"/>
        </w:rPr>
        <w:t>sense;</w:t>
      </w:r>
      <w:proofErr w:type="gramEnd"/>
    </w:p>
    <w:p w14:paraId="7726E012" w14:textId="77777777" w:rsidR="00B72F96" w:rsidRPr="00522851" w:rsidRDefault="00B72F96" w:rsidP="00B72F96">
      <w:pPr>
        <w:tabs>
          <w:tab w:val="left" w:pos="567"/>
        </w:tabs>
        <w:spacing w:line="360" w:lineRule="auto"/>
        <w:ind w:left="567"/>
        <w:jc w:val="both"/>
        <w:rPr>
          <w:rFonts w:ascii="Arial Narrow" w:hAnsi="Arial Narrow"/>
          <w:sz w:val="28"/>
          <w:szCs w:val="28"/>
        </w:rPr>
      </w:pPr>
      <w:r w:rsidRPr="00522851">
        <w:rPr>
          <w:rFonts w:ascii="Arial Narrow" w:hAnsi="Arial Narrow"/>
          <w:sz w:val="28"/>
          <w:szCs w:val="28"/>
        </w:rPr>
        <w:t xml:space="preserve">vi) The physical and mental strength of the testator are relevant factors in determining how much pressure is necessary </w:t>
      </w:r>
      <w:proofErr w:type="gramStart"/>
      <w:r w:rsidRPr="00522851">
        <w:rPr>
          <w:rFonts w:ascii="Arial Narrow" w:hAnsi="Arial Narrow"/>
          <w:sz w:val="28"/>
          <w:szCs w:val="28"/>
        </w:rPr>
        <w:t>in order to</w:t>
      </w:r>
      <w:proofErr w:type="gramEnd"/>
      <w:r w:rsidRPr="00522851">
        <w:rPr>
          <w:rFonts w:ascii="Arial Narrow" w:hAnsi="Arial Narrow"/>
          <w:sz w:val="28"/>
          <w:szCs w:val="28"/>
        </w:rPr>
        <w:t xml:space="preserve"> overbear the will.  The will of a weak and ill person may be more easily overborne than that of a hale </w:t>
      </w:r>
      <w:r w:rsidRPr="00522851">
        <w:rPr>
          <w:rFonts w:ascii="Arial Narrow" w:hAnsi="Arial Narrow"/>
          <w:sz w:val="28"/>
          <w:szCs w:val="28"/>
        </w:rPr>
        <w:lastRenderedPageBreak/>
        <w:t xml:space="preserve">and hearty one.  As was said in one case simply to talk to a weak and feeble testator may so fatigue the brain that a sick person may be induced for quietness’ sake to do anything.  A “drip </w:t>
      </w:r>
      <w:proofErr w:type="spellStart"/>
      <w:r w:rsidRPr="00522851">
        <w:rPr>
          <w:rFonts w:ascii="Arial Narrow" w:hAnsi="Arial Narrow"/>
          <w:sz w:val="28"/>
          <w:szCs w:val="28"/>
        </w:rPr>
        <w:t>drip</w:t>
      </w:r>
      <w:proofErr w:type="spellEnd"/>
      <w:r w:rsidRPr="00522851">
        <w:rPr>
          <w:rFonts w:ascii="Arial Narrow" w:hAnsi="Arial Narrow"/>
          <w:sz w:val="28"/>
          <w:szCs w:val="28"/>
        </w:rPr>
        <w:t xml:space="preserve">” approach may be highly effective in sapping the </w:t>
      </w:r>
      <w:proofErr w:type="gramStart"/>
      <w:r w:rsidRPr="00522851">
        <w:rPr>
          <w:rFonts w:ascii="Arial Narrow" w:hAnsi="Arial Narrow"/>
          <w:sz w:val="28"/>
          <w:szCs w:val="28"/>
        </w:rPr>
        <w:t>will;…</w:t>
      </w:r>
      <w:proofErr w:type="gramEnd"/>
      <w:r w:rsidRPr="00522851">
        <w:rPr>
          <w:rFonts w:ascii="Arial Narrow" w:hAnsi="Arial Narrow"/>
          <w:sz w:val="28"/>
          <w:szCs w:val="28"/>
        </w:rPr>
        <w:t>..</w:t>
      </w:r>
    </w:p>
    <w:p w14:paraId="6993AD32" w14:textId="296F027C" w:rsidR="00A901AE" w:rsidRDefault="00B72F96" w:rsidP="00943759">
      <w:pPr>
        <w:pStyle w:val="ListParagraph"/>
        <w:tabs>
          <w:tab w:val="left" w:pos="567"/>
        </w:tabs>
        <w:spacing w:line="360" w:lineRule="auto"/>
        <w:ind w:left="567"/>
        <w:jc w:val="both"/>
        <w:rPr>
          <w:rFonts w:ascii="Arial Narrow" w:hAnsi="Arial Narrow"/>
          <w:sz w:val="28"/>
          <w:szCs w:val="28"/>
        </w:rPr>
      </w:pPr>
      <w:r w:rsidRPr="00522851">
        <w:rPr>
          <w:rFonts w:ascii="Arial Narrow" w:hAnsi="Arial Narrow"/>
          <w:sz w:val="28"/>
          <w:szCs w:val="28"/>
        </w:rPr>
        <w:t>ix) The question is not whether the court considers that the testator’s testamentary disposition is fair because, subject to statutory powers of intervention, a testator may dispose of his estate as he wishes.  The question, in the end, is whether in making his dispositions, the testator has acted as a free agent.”</w:t>
      </w:r>
    </w:p>
    <w:p w14:paraId="285205FF" w14:textId="77777777" w:rsidR="00E9229C" w:rsidRDefault="00E9229C" w:rsidP="00DA5E41">
      <w:pPr>
        <w:tabs>
          <w:tab w:val="left" w:pos="567"/>
        </w:tabs>
        <w:spacing w:line="360" w:lineRule="auto"/>
        <w:jc w:val="both"/>
        <w:rPr>
          <w:rFonts w:ascii="Arial Narrow" w:hAnsi="Arial Narrow"/>
          <w:sz w:val="28"/>
          <w:szCs w:val="28"/>
        </w:rPr>
      </w:pPr>
    </w:p>
    <w:p w14:paraId="2029FDA5" w14:textId="62C29450" w:rsidR="00DA5E41" w:rsidRDefault="00DA5E41" w:rsidP="00DA5E41">
      <w:pPr>
        <w:pStyle w:val="ListParagraph"/>
        <w:numPr>
          <w:ilvl w:val="0"/>
          <w:numId w:val="4"/>
        </w:numPr>
        <w:tabs>
          <w:tab w:val="left" w:pos="567"/>
        </w:tabs>
        <w:spacing w:line="360" w:lineRule="auto"/>
        <w:ind w:left="567" w:hanging="567"/>
        <w:jc w:val="both"/>
        <w:rPr>
          <w:rFonts w:ascii="Arial Narrow" w:hAnsi="Arial Narrow"/>
          <w:sz w:val="28"/>
          <w:szCs w:val="28"/>
        </w:rPr>
      </w:pPr>
      <w:r>
        <w:rPr>
          <w:rFonts w:ascii="Arial Narrow" w:hAnsi="Arial Narrow"/>
          <w:sz w:val="28"/>
          <w:szCs w:val="28"/>
        </w:rPr>
        <w:t xml:space="preserve">I should say that it is unclear to me whether Newey LJ intended in any way to water down or </w:t>
      </w:r>
      <w:r w:rsidR="0095230C">
        <w:rPr>
          <w:rFonts w:ascii="Arial Narrow" w:hAnsi="Arial Narrow"/>
          <w:sz w:val="28"/>
          <w:szCs w:val="28"/>
        </w:rPr>
        <w:t xml:space="preserve">depart from proposition </w:t>
      </w:r>
      <w:r w:rsidR="0042679E">
        <w:rPr>
          <w:rFonts w:ascii="Arial Narrow" w:hAnsi="Arial Narrow"/>
          <w:sz w:val="28"/>
          <w:szCs w:val="28"/>
        </w:rPr>
        <w:t>iii) made by Lewison J.</w:t>
      </w:r>
      <w:r w:rsidR="00642AC8">
        <w:rPr>
          <w:rFonts w:ascii="Arial Narrow" w:hAnsi="Arial Narrow"/>
          <w:sz w:val="28"/>
          <w:szCs w:val="28"/>
        </w:rPr>
        <w:t xml:space="preserve">  At trial, Judge Hodge had expressed himself as being satisfied that the facts were consistent only with the daughter having procured the making and execution of the 2015 will by the exercise of undue influence, overpowering the testator’s volition without convincing her judgment.  He had set out a series of reasons for that finding.</w:t>
      </w:r>
      <w:r w:rsidR="0042679E">
        <w:rPr>
          <w:rFonts w:ascii="Arial Narrow" w:hAnsi="Arial Narrow"/>
          <w:sz w:val="28"/>
          <w:szCs w:val="28"/>
        </w:rPr>
        <w:t xml:space="preserve">  Nevertheless, the Court of Appeal</w:t>
      </w:r>
      <w:r w:rsidR="001D18FD">
        <w:rPr>
          <w:rFonts w:ascii="Arial Narrow" w:hAnsi="Arial Narrow"/>
          <w:sz w:val="28"/>
          <w:szCs w:val="28"/>
        </w:rPr>
        <w:t xml:space="preserve">, whilst accepting that it is of course in only very limited circumstances that an appellate court should interfere with </w:t>
      </w:r>
      <w:r w:rsidR="00C024D6">
        <w:rPr>
          <w:rFonts w:ascii="Arial Narrow" w:hAnsi="Arial Narrow"/>
          <w:sz w:val="28"/>
          <w:szCs w:val="28"/>
        </w:rPr>
        <w:t xml:space="preserve">findings of fact made by a trial judge, </w:t>
      </w:r>
      <w:r w:rsidR="002B6131">
        <w:rPr>
          <w:rFonts w:ascii="Arial Narrow" w:hAnsi="Arial Narrow"/>
          <w:sz w:val="28"/>
          <w:szCs w:val="28"/>
        </w:rPr>
        <w:t>and accepting that</w:t>
      </w:r>
      <w:r w:rsidR="005B4C94">
        <w:rPr>
          <w:rFonts w:ascii="Arial Narrow" w:hAnsi="Arial Narrow"/>
          <w:sz w:val="28"/>
          <w:szCs w:val="28"/>
        </w:rPr>
        <w:t xml:space="preserve"> Judge Hodge had made such findings, considered that </w:t>
      </w:r>
      <w:r w:rsidR="00150226">
        <w:rPr>
          <w:rFonts w:ascii="Arial Narrow" w:hAnsi="Arial Narrow"/>
          <w:sz w:val="28"/>
          <w:szCs w:val="28"/>
        </w:rPr>
        <w:t xml:space="preserve">those </w:t>
      </w:r>
      <w:r w:rsidR="00E256E9">
        <w:rPr>
          <w:rFonts w:ascii="Arial Narrow" w:hAnsi="Arial Narrow"/>
          <w:sz w:val="28"/>
          <w:szCs w:val="28"/>
        </w:rPr>
        <w:t>findings were insufficient.</w:t>
      </w:r>
    </w:p>
    <w:p w14:paraId="1568EF7A" w14:textId="3D3735C5" w:rsidR="00E256E9" w:rsidRDefault="00E256E9" w:rsidP="00E256E9">
      <w:pPr>
        <w:pStyle w:val="ListParagraph"/>
        <w:tabs>
          <w:tab w:val="left" w:pos="567"/>
        </w:tabs>
        <w:spacing w:line="360" w:lineRule="auto"/>
        <w:ind w:left="567"/>
        <w:jc w:val="both"/>
        <w:rPr>
          <w:rFonts w:ascii="Arial Narrow" w:hAnsi="Arial Narrow"/>
          <w:sz w:val="28"/>
          <w:szCs w:val="28"/>
        </w:rPr>
      </w:pPr>
    </w:p>
    <w:p w14:paraId="23924393" w14:textId="7E777B7A" w:rsidR="00E256E9" w:rsidRPr="00DA5E41" w:rsidRDefault="00150226" w:rsidP="00DA5E41">
      <w:pPr>
        <w:pStyle w:val="ListParagraph"/>
        <w:numPr>
          <w:ilvl w:val="0"/>
          <w:numId w:val="4"/>
        </w:numPr>
        <w:tabs>
          <w:tab w:val="left" w:pos="567"/>
        </w:tabs>
        <w:spacing w:line="360" w:lineRule="auto"/>
        <w:ind w:left="567" w:hanging="567"/>
        <w:jc w:val="both"/>
        <w:rPr>
          <w:rFonts w:ascii="Arial Narrow" w:hAnsi="Arial Narrow"/>
          <w:sz w:val="28"/>
          <w:szCs w:val="28"/>
        </w:rPr>
      </w:pPr>
      <w:r>
        <w:rPr>
          <w:rFonts w:ascii="Arial Narrow" w:hAnsi="Arial Narrow"/>
          <w:sz w:val="28"/>
          <w:szCs w:val="28"/>
        </w:rPr>
        <w:t>T</w:t>
      </w:r>
      <w:r w:rsidR="004B2AED">
        <w:rPr>
          <w:rFonts w:ascii="Arial Narrow" w:hAnsi="Arial Narrow"/>
          <w:sz w:val="28"/>
          <w:szCs w:val="28"/>
        </w:rPr>
        <w:t xml:space="preserve">he Court of Appeal concluded that </w:t>
      </w:r>
      <w:r w:rsidR="001407E1">
        <w:rPr>
          <w:rFonts w:ascii="Arial Narrow" w:hAnsi="Arial Narrow"/>
          <w:sz w:val="28"/>
          <w:szCs w:val="28"/>
        </w:rPr>
        <w:t>Judge</w:t>
      </w:r>
      <w:r w:rsidR="00D92962">
        <w:rPr>
          <w:rFonts w:ascii="Arial Narrow" w:hAnsi="Arial Narrow"/>
          <w:sz w:val="28"/>
          <w:szCs w:val="28"/>
        </w:rPr>
        <w:t xml:space="preserve"> Hodge</w:t>
      </w:r>
      <w:r w:rsidR="001407E1">
        <w:rPr>
          <w:rFonts w:ascii="Arial Narrow" w:hAnsi="Arial Narrow"/>
          <w:sz w:val="28"/>
          <w:szCs w:val="28"/>
        </w:rPr>
        <w:t xml:space="preserve"> was mistaken as to his findings</w:t>
      </w:r>
      <w:r w:rsidR="00C46C13">
        <w:rPr>
          <w:rFonts w:ascii="Arial Narrow" w:hAnsi="Arial Narrow"/>
          <w:sz w:val="28"/>
          <w:szCs w:val="28"/>
        </w:rPr>
        <w:t xml:space="preserve"> that there had been undue influence and </w:t>
      </w:r>
      <w:r w:rsidR="00D92962">
        <w:rPr>
          <w:rFonts w:ascii="Arial Narrow" w:hAnsi="Arial Narrow"/>
          <w:sz w:val="28"/>
          <w:szCs w:val="28"/>
        </w:rPr>
        <w:t>that he needed to consider other possibilities.  Newey LJ said at para.</w:t>
      </w:r>
      <w:r w:rsidR="00A23351">
        <w:rPr>
          <w:rFonts w:ascii="Arial Narrow" w:hAnsi="Arial Narrow"/>
          <w:sz w:val="28"/>
          <w:szCs w:val="28"/>
        </w:rPr>
        <w:t>57: “</w:t>
      </w:r>
      <w:r w:rsidR="00A23351" w:rsidRPr="00A23351">
        <w:rPr>
          <w:rFonts w:ascii="Arial Narrow" w:hAnsi="Arial Narrow"/>
          <w:sz w:val="28"/>
          <w:szCs w:val="28"/>
        </w:rPr>
        <w:t xml:space="preserve">the Judge needed to consider whether the circumstances were as consistent with Anna deciding to make a new will either entirely of her own accord or after being encouraged to do so by Rita. Undue influence was, to my mind, clearly no more likely than at least the </w:t>
      </w:r>
      <w:r w:rsidR="00A23351" w:rsidRPr="00A23351">
        <w:rPr>
          <w:rFonts w:ascii="Arial Narrow" w:hAnsi="Arial Narrow"/>
          <w:sz w:val="28"/>
          <w:szCs w:val="28"/>
        </w:rPr>
        <w:lastRenderedPageBreak/>
        <w:t>latter of these hypotheses</w:t>
      </w:r>
      <w:r w:rsidR="00A23351">
        <w:rPr>
          <w:rFonts w:ascii="Arial Narrow" w:hAnsi="Arial Narrow"/>
          <w:sz w:val="28"/>
          <w:szCs w:val="28"/>
        </w:rPr>
        <w:t>”.</w:t>
      </w:r>
      <w:r w:rsidR="00AB6E16">
        <w:rPr>
          <w:rFonts w:ascii="Arial Narrow" w:hAnsi="Arial Narrow"/>
          <w:sz w:val="28"/>
          <w:szCs w:val="28"/>
        </w:rPr>
        <w:t xml:space="preserve">  As such, the appeal was allowed essentially on the basis that </w:t>
      </w:r>
      <w:r w:rsidR="00E012BB">
        <w:rPr>
          <w:rFonts w:ascii="Arial Narrow" w:hAnsi="Arial Narrow"/>
          <w:sz w:val="28"/>
          <w:szCs w:val="28"/>
        </w:rPr>
        <w:t xml:space="preserve">proof had not been established to the requisite standard by discounting </w:t>
      </w:r>
      <w:r w:rsidR="00133A2C">
        <w:rPr>
          <w:rFonts w:ascii="Arial Narrow" w:hAnsi="Arial Narrow"/>
          <w:sz w:val="28"/>
          <w:szCs w:val="28"/>
        </w:rPr>
        <w:t>the p</w:t>
      </w:r>
      <w:r w:rsidR="003F400B">
        <w:rPr>
          <w:rFonts w:ascii="Arial Narrow" w:hAnsi="Arial Narrow"/>
          <w:sz w:val="28"/>
          <w:szCs w:val="28"/>
        </w:rPr>
        <w:t>ossibility</w:t>
      </w:r>
      <w:r w:rsidR="00133A2C">
        <w:rPr>
          <w:rFonts w:ascii="Arial Narrow" w:hAnsi="Arial Narrow"/>
          <w:sz w:val="28"/>
          <w:szCs w:val="28"/>
        </w:rPr>
        <w:t xml:space="preserve"> of other hypotheses.</w:t>
      </w:r>
    </w:p>
    <w:p w14:paraId="0185223F" w14:textId="77777777" w:rsidR="00991D34" w:rsidRDefault="00991D34" w:rsidP="00991D34">
      <w:pPr>
        <w:pStyle w:val="ListParagraph"/>
        <w:tabs>
          <w:tab w:val="left" w:pos="567"/>
        </w:tabs>
        <w:spacing w:line="360" w:lineRule="auto"/>
        <w:ind w:left="567"/>
        <w:jc w:val="both"/>
        <w:rPr>
          <w:rFonts w:ascii="Arial Narrow" w:hAnsi="Arial Narrow"/>
          <w:sz w:val="28"/>
          <w:szCs w:val="28"/>
        </w:rPr>
      </w:pPr>
    </w:p>
    <w:p w14:paraId="4FBCD342" w14:textId="77777777" w:rsidR="003F1497" w:rsidRPr="003F1497" w:rsidRDefault="003F1497" w:rsidP="003F1497">
      <w:pPr>
        <w:pStyle w:val="ListParagraph"/>
        <w:rPr>
          <w:rFonts w:ascii="Arial Narrow" w:hAnsi="Arial Narrow"/>
          <w:sz w:val="28"/>
          <w:szCs w:val="28"/>
        </w:rPr>
      </w:pPr>
    </w:p>
    <w:p w14:paraId="0B44FAB9" w14:textId="3FD31258" w:rsidR="00C0053C" w:rsidRPr="0061021A" w:rsidRDefault="003F1497" w:rsidP="003F1497">
      <w:pPr>
        <w:pStyle w:val="ListParagraph"/>
        <w:tabs>
          <w:tab w:val="left" w:pos="567"/>
        </w:tabs>
        <w:spacing w:line="360" w:lineRule="auto"/>
        <w:ind w:left="567"/>
        <w:jc w:val="right"/>
        <w:rPr>
          <w:rFonts w:ascii="Arial Narrow" w:hAnsi="Arial Narrow"/>
          <w:sz w:val="28"/>
          <w:szCs w:val="28"/>
        </w:rPr>
      </w:pP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sidR="00C0053C" w:rsidRPr="0061021A">
        <w:rPr>
          <w:rFonts w:ascii="Arial Narrow" w:hAnsi="Arial Narrow"/>
          <w:sz w:val="28"/>
          <w:szCs w:val="28"/>
        </w:rPr>
        <w:t>David Green</w:t>
      </w:r>
    </w:p>
    <w:p w14:paraId="70533085" w14:textId="77777777" w:rsidR="00C0053C" w:rsidRDefault="00C0053C" w:rsidP="00C0053C">
      <w:pPr>
        <w:spacing w:line="360" w:lineRule="auto"/>
        <w:jc w:val="right"/>
        <w:rPr>
          <w:rFonts w:ascii="Arial Narrow" w:hAnsi="Arial Narrow"/>
          <w:sz w:val="28"/>
          <w:szCs w:val="28"/>
        </w:rPr>
      </w:pPr>
      <w:r w:rsidRPr="0061021A">
        <w:rPr>
          <w:rFonts w:ascii="Arial Narrow" w:hAnsi="Arial Narrow"/>
          <w:sz w:val="28"/>
          <w:szCs w:val="28"/>
        </w:rPr>
        <w:t>Atlantic Chambers</w:t>
      </w:r>
    </w:p>
    <w:p w14:paraId="1DD3D4A0" w14:textId="52506B90" w:rsidR="00CE530E" w:rsidRPr="0061021A" w:rsidRDefault="00000000" w:rsidP="00CE530E">
      <w:pPr>
        <w:spacing w:line="360" w:lineRule="auto"/>
        <w:jc w:val="right"/>
        <w:rPr>
          <w:rFonts w:ascii="Arial Narrow" w:hAnsi="Arial Narrow"/>
          <w:sz w:val="28"/>
          <w:szCs w:val="28"/>
        </w:rPr>
      </w:pPr>
      <w:hyperlink r:id="rId10" w:history="1">
        <w:r w:rsidR="00CE530E" w:rsidRPr="006D0EA5">
          <w:rPr>
            <w:rStyle w:val="Hyperlink"/>
            <w:rFonts w:ascii="Arial Narrow" w:hAnsi="Arial Narrow"/>
            <w:sz w:val="28"/>
            <w:szCs w:val="28"/>
          </w:rPr>
          <w:t>davidgreen@atlanticchambers.co.uk</w:t>
        </w:r>
      </w:hyperlink>
    </w:p>
    <w:p w14:paraId="427949B0" w14:textId="25913841" w:rsidR="00E57FB0" w:rsidRPr="0061021A" w:rsidRDefault="00D10048" w:rsidP="00C0053C">
      <w:pPr>
        <w:spacing w:line="360" w:lineRule="auto"/>
        <w:jc w:val="right"/>
        <w:rPr>
          <w:rFonts w:ascii="Arial Narrow" w:hAnsi="Arial Narrow"/>
          <w:sz w:val="28"/>
          <w:szCs w:val="28"/>
        </w:rPr>
      </w:pPr>
      <w:r>
        <w:rPr>
          <w:rFonts w:ascii="Arial Narrow" w:hAnsi="Arial Narrow"/>
          <w:sz w:val="28"/>
          <w:szCs w:val="28"/>
        </w:rPr>
        <w:t>8</w:t>
      </w:r>
      <w:r w:rsidRPr="00D10048">
        <w:rPr>
          <w:rFonts w:ascii="Arial Narrow" w:hAnsi="Arial Narrow"/>
          <w:sz w:val="28"/>
          <w:szCs w:val="28"/>
          <w:vertAlign w:val="superscript"/>
        </w:rPr>
        <w:t>th</w:t>
      </w:r>
      <w:r>
        <w:rPr>
          <w:rFonts w:ascii="Arial Narrow" w:hAnsi="Arial Narrow"/>
          <w:sz w:val="28"/>
          <w:szCs w:val="28"/>
        </w:rPr>
        <w:t xml:space="preserve"> </w:t>
      </w:r>
      <w:r w:rsidR="00B55574">
        <w:rPr>
          <w:rFonts w:ascii="Arial Narrow" w:hAnsi="Arial Narrow"/>
          <w:sz w:val="28"/>
          <w:szCs w:val="28"/>
        </w:rPr>
        <w:t xml:space="preserve">October </w:t>
      </w:r>
      <w:r w:rsidR="00B37C1C" w:rsidRPr="0061021A">
        <w:rPr>
          <w:rFonts w:ascii="Arial Narrow" w:hAnsi="Arial Narrow"/>
          <w:sz w:val="28"/>
          <w:szCs w:val="28"/>
        </w:rPr>
        <w:t>202</w:t>
      </w:r>
      <w:r>
        <w:rPr>
          <w:rFonts w:ascii="Arial Narrow" w:hAnsi="Arial Narrow"/>
          <w:sz w:val="28"/>
          <w:szCs w:val="28"/>
        </w:rPr>
        <w:t>4</w:t>
      </w:r>
    </w:p>
    <w:sectPr w:rsidR="00E57FB0" w:rsidRPr="0061021A" w:rsidSect="00362A62">
      <w:footerReference w:type="default" r:id="rId11"/>
      <w:pgSz w:w="12240" w:h="15840"/>
      <w:pgMar w:top="1440" w:right="1800" w:bottom="1440" w:left="180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ADA1A" w14:textId="77777777" w:rsidR="003A5255" w:rsidRDefault="003A5255" w:rsidP="00362A62">
      <w:r>
        <w:separator/>
      </w:r>
    </w:p>
  </w:endnote>
  <w:endnote w:type="continuationSeparator" w:id="0">
    <w:p w14:paraId="3B17C674" w14:textId="77777777" w:rsidR="003A5255" w:rsidRDefault="003A5255" w:rsidP="0036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5113385"/>
      <w:docPartObj>
        <w:docPartGallery w:val="Page Numbers (Bottom of Page)"/>
        <w:docPartUnique/>
      </w:docPartObj>
    </w:sdtPr>
    <w:sdtEndPr>
      <w:rPr>
        <w:color w:val="7F7F7F" w:themeColor="background1" w:themeShade="7F"/>
        <w:spacing w:val="60"/>
      </w:rPr>
    </w:sdtEndPr>
    <w:sdtContent>
      <w:p w14:paraId="62EAC223" w14:textId="77777777" w:rsidR="00362A62" w:rsidRDefault="00362A6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53AF3" w:rsidRPr="00553AF3">
          <w:rPr>
            <w:b/>
            <w:bCs/>
            <w:noProof/>
          </w:rPr>
          <w:t>5</w:t>
        </w:r>
        <w:r>
          <w:rPr>
            <w:b/>
            <w:bCs/>
            <w:noProof/>
          </w:rPr>
          <w:fldChar w:fldCharType="end"/>
        </w:r>
        <w:r>
          <w:rPr>
            <w:b/>
            <w:bCs/>
          </w:rPr>
          <w:t xml:space="preserve"> | </w:t>
        </w:r>
        <w:r>
          <w:rPr>
            <w:color w:val="7F7F7F" w:themeColor="background1" w:themeShade="7F"/>
            <w:spacing w:val="60"/>
          </w:rPr>
          <w:t>Page</w:t>
        </w:r>
      </w:p>
    </w:sdtContent>
  </w:sdt>
  <w:p w14:paraId="6326A463" w14:textId="77777777" w:rsidR="00362A62" w:rsidRDefault="00362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E8300" w14:textId="77777777" w:rsidR="003A5255" w:rsidRDefault="003A5255" w:rsidP="00362A62">
      <w:r>
        <w:separator/>
      </w:r>
    </w:p>
  </w:footnote>
  <w:footnote w:type="continuationSeparator" w:id="0">
    <w:p w14:paraId="2C15AF7D" w14:textId="77777777" w:rsidR="003A5255" w:rsidRDefault="003A5255" w:rsidP="00362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23C"/>
    <w:multiLevelType w:val="hybridMultilevel"/>
    <w:tmpl w:val="F1223F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1E254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74F5906"/>
    <w:multiLevelType w:val="hybridMultilevel"/>
    <w:tmpl w:val="12D6051A"/>
    <w:lvl w:ilvl="0" w:tplc="23FABAB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296128F7"/>
    <w:multiLevelType w:val="hybridMultilevel"/>
    <w:tmpl w:val="EBC464AE"/>
    <w:lvl w:ilvl="0" w:tplc="6F8E26F4">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4" w15:restartNumberingAfterBreak="0">
    <w:nsid w:val="2E5C436B"/>
    <w:multiLevelType w:val="hybridMultilevel"/>
    <w:tmpl w:val="101E9D04"/>
    <w:lvl w:ilvl="0" w:tplc="3B84C44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363F3B73"/>
    <w:multiLevelType w:val="hybridMultilevel"/>
    <w:tmpl w:val="46ACA81C"/>
    <w:lvl w:ilvl="0" w:tplc="525CE71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3C484771"/>
    <w:multiLevelType w:val="multilevel"/>
    <w:tmpl w:val="21366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3A30C8"/>
    <w:multiLevelType w:val="hybridMultilevel"/>
    <w:tmpl w:val="BE3A44EE"/>
    <w:lvl w:ilvl="0" w:tplc="0809000F">
      <w:start w:val="1"/>
      <w:numFmt w:val="decimal"/>
      <w:lvlText w:val="%1."/>
      <w:lvlJc w:val="left"/>
      <w:pPr>
        <w:tabs>
          <w:tab w:val="num" w:pos="720"/>
        </w:tabs>
        <w:ind w:left="720" w:hanging="360"/>
      </w:pPr>
      <w:rPr>
        <w:rFonts w:hint="default"/>
      </w:rPr>
    </w:lvl>
    <w:lvl w:ilvl="1" w:tplc="FEB064E2">
      <w:start w:val="1"/>
      <w:numFmt w:val="lowerLetter"/>
      <w:lvlText w:val="(%2)"/>
      <w:lvlJc w:val="left"/>
      <w:pPr>
        <w:tabs>
          <w:tab w:val="num" w:pos="851"/>
        </w:tabs>
        <w:ind w:left="851" w:hanging="426"/>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F98300B"/>
    <w:multiLevelType w:val="multilevel"/>
    <w:tmpl w:val="91A0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372308"/>
    <w:multiLevelType w:val="hybridMultilevel"/>
    <w:tmpl w:val="4B0A1A7A"/>
    <w:lvl w:ilvl="0" w:tplc="6882A79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632788770">
    <w:abstractNumId w:val="7"/>
  </w:num>
  <w:num w:numId="2" w16cid:durableId="1658650736">
    <w:abstractNumId w:val="6"/>
  </w:num>
  <w:num w:numId="3" w16cid:durableId="1783573319">
    <w:abstractNumId w:val="8"/>
  </w:num>
  <w:num w:numId="4" w16cid:durableId="2070837066">
    <w:abstractNumId w:val="0"/>
  </w:num>
  <w:num w:numId="5" w16cid:durableId="75713552">
    <w:abstractNumId w:val="1"/>
  </w:num>
  <w:num w:numId="6" w16cid:durableId="865606742">
    <w:abstractNumId w:val="9"/>
  </w:num>
  <w:num w:numId="7" w16cid:durableId="772434528">
    <w:abstractNumId w:val="5"/>
  </w:num>
  <w:num w:numId="8" w16cid:durableId="1075475694">
    <w:abstractNumId w:val="2"/>
  </w:num>
  <w:num w:numId="9" w16cid:durableId="1145392317">
    <w:abstractNumId w:val="3"/>
  </w:num>
  <w:num w:numId="10" w16cid:durableId="15683467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27A"/>
    <w:rsid w:val="00000E42"/>
    <w:rsid w:val="00003155"/>
    <w:rsid w:val="00003CA2"/>
    <w:rsid w:val="00004350"/>
    <w:rsid w:val="00004600"/>
    <w:rsid w:val="000048A4"/>
    <w:rsid w:val="00004A85"/>
    <w:rsid w:val="000053F3"/>
    <w:rsid w:val="00007B27"/>
    <w:rsid w:val="00010506"/>
    <w:rsid w:val="00010A3C"/>
    <w:rsid w:val="00010F37"/>
    <w:rsid w:val="00011046"/>
    <w:rsid w:val="000113BC"/>
    <w:rsid w:val="000116D5"/>
    <w:rsid w:val="00011E9F"/>
    <w:rsid w:val="00013BA0"/>
    <w:rsid w:val="00014FFC"/>
    <w:rsid w:val="0001511E"/>
    <w:rsid w:val="00015331"/>
    <w:rsid w:val="00015929"/>
    <w:rsid w:val="00015CD2"/>
    <w:rsid w:val="00015DA8"/>
    <w:rsid w:val="00016C61"/>
    <w:rsid w:val="00017586"/>
    <w:rsid w:val="00017FD0"/>
    <w:rsid w:val="000235CB"/>
    <w:rsid w:val="00024026"/>
    <w:rsid w:val="0002481F"/>
    <w:rsid w:val="000253F4"/>
    <w:rsid w:val="00025753"/>
    <w:rsid w:val="0002608B"/>
    <w:rsid w:val="00030FEB"/>
    <w:rsid w:val="00031A19"/>
    <w:rsid w:val="0003306B"/>
    <w:rsid w:val="000332B3"/>
    <w:rsid w:val="0003617C"/>
    <w:rsid w:val="000363E4"/>
    <w:rsid w:val="000365FB"/>
    <w:rsid w:val="000366C8"/>
    <w:rsid w:val="000367F5"/>
    <w:rsid w:val="00036A4D"/>
    <w:rsid w:val="00037D36"/>
    <w:rsid w:val="00040780"/>
    <w:rsid w:val="00040856"/>
    <w:rsid w:val="000413A2"/>
    <w:rsid w:val="00041530"/>
    <w:rsid w:val="000415E0"/>
    <w:rsid w:val="00044F7B"/>
    <w:rsid w:val="000450B3"/>
    <w:rsid w:val="0004567B"/>
    <w:rsid w:val="00045D93"/>
    <w:rsid w:val="000467E0"/>
    <w:rsid w:val="0004729C"/>
    <w:rsid w:val="00047B5C"/>
    <w:rsid w:val="00050606"/>
    <w:rsid w:val="000509C2"/>
    <w:rsid w:val="00053023"/>
    <w:rsid w:val="000531C3"/>
    <w:rsid w:val="00053608"/>
    <w:rsid w:val="00053632"/>
    <w:rsid w:val="00056469"/>
    <w:rsid w:val="00056F72"/>
    <w:rsid w:val="00056FF0"/>
    <w:rsid w:val="00057947"/>
    <w:rsid w:val="00061245"/>
    <w:rsid w:val="00061376"/>
    <w:rsid w:val="00061D3F"/>
    <w:rsid w:val="000629B2"/>
    <w:rsid w:val="00063752"/>
    <w:rsid w:val="0006461C"/>
    <w:rsid w:val="00067E39"/>
    <w:rsid w:val="0007178A"/>
    <w:rsid w:val="000725AA"/>
    <w:rsid w:val="00075766"/>
    <w:rsid w:val="000758D9"/>
    <w:rsid w:val="0008002A"/>
    <w:rsid w:val="000803E6"/>
    <w:rsid w:val="000827C6"/>
    <w:rsid w:val="00082BAB"/>
    <w:rsid w:val="00084266"/>
    <w:rsid w:val="00084AFA"/>
    <w:rsid w:val="00085ED9"/>
    <w:rsid w:val="0008677A"/>
    <w:rsid w:val="00090235"/>
    <w:rsid w:val="0009071A"/>
    <w:rsid w:val="00090B5D"/>
    <w:rsid w:val="00091346"/>
    <w:rsid w:val="0009180D"/>
    <w:rsid w:val="00091F83"/>
    <w:rsid w:val="0009330D"/>
    <w:rsid w:val="00093961"/>
    <w:rsid w:val="00094D1A"/>
    <w:rsid w:val="000952A4"/>
    <w:rsid w:val="00095BAE"/>
    <w:rsid w:val="00096029"/>
    <w:rsid w:val="000A035C"/>
    <w:rsid w:val="000A06F3"/>
    <w:rsid w:val="000A0AE3"/>
    <w:rsid w:val="000A0F68"/>
    <w:rsid w:val="000A1E16"/>
    <w:rsid w:val="000A5C84"/>
    <w:rsid w:val="000A6807"/>
    <w:rsid w:val="000A6B6D"/>
    <w:rsid w:val="000A7564"/>
    <w:rsid w:val="000B216F"/>
    <w:rsid w:val="000B38BF"/>
    <w:rsid w:val="000B4A18"/>
    <w:rsid w:val="000B535D"/>
    <w:rsid w:val="000B6087"/>
    <w:rsid w:val="000B725B"/>
    <w:rsid w:val="000B7D15"/>
    <w:rsid w:val="000C0C0B"/>
    <w:rsid w:val="000C17E5"/>
    <w:rsid w:val="000C595C"/>
    <w:rsid w:val="000D0693"/>
    <w:rsid w:val="000D0F90"/>
    <w:rsid w:val="000D1E09"/>
    <w:rsid w:val="000D2FDF"/>
    <w:rsid w:val="000D36C8"/>
    <w:rsid w:val="000D3E9F"/>
    <w:rsid w:val="000D4D25"/>
    <w:rsid w:val="000D5408"/>
    <w:rsid w:val="000D58DB"/>
    <w:rsid w:val="000D5A80"/>
    <w:rsid w:val="000D639E"/>
    <w:rsid w:val="000D6616"/>
    <w:rsid w:val="000D70C3"/>
    <w:rsid w:val="000D7821"/>
    <w:rsid w:val="000E0DAD"/>
    <w:rsid w:val="000E1517"/>
    <w:rsid w:val="000E1EA3"/>
    <w:rsid w:val="000E26B5"/>
    <w:rsid w:val="000E2DAD"/>
    <w:rsid w:val="000E39FA"/>
    <w:rsid w:val="000E3DA8"/>
    <w:rsid w:val="000E4DA4"/>
    <w:rsid w:val="000E50CA"/>
    <w:rsid w:val="000E5635"/>
    <w:rsid w:val="000E5FC1"/>
    <w:rsid w:val="000E63DD"/>
    <w:rsid w:val="000E7B7B"/>
    <w:rsid w:val="000E7BF5"/>
    <w:rsid w:val="000F0663"/>
    <w:rsid w:val="000F1572"/>
    <w:rsid w:val="000F2719"/>
    <w:rsid w:val="000F2785"/>
    <w:rsid w:val="000F28A0"/>
    <w:rsid w:val="000F375A"/>
    <w:rsid w:val="000F4C90"/>
    <w:rsid w:val="000F4CA2"/>
    <w:rsid w:val="000F6886"/>
    <w:rsid w:val="000F7284"/>
    <w:rsid w:val="000F74FB"/>
    <w:rsid w:val="001004B5"/>
    <w:rsid w:val="00100902"/>
    <w:rsid w:val="00100CFA"/>
    <w:rsid w:val="0010310A"/>
    <w:rsid w:val="0010380D"/>
    <w:rsid w:val="001041E8"/>
    <w:rsid w:val="0010440B"/>
    <w:rsid w:val="0010455E"/>
    <w:rsid w:val="001057D1"/>
    <w:rsid w:val="00106B34"/>
    <w:rsid w:val="00110464"/>
    <w:rsid w:val="00110766"/>
    <w:rsid w:val="00110786"/>
    <w:rsid w:val="00111639"/>
    <w:rsid w:val="00111942"/>
    <w:rsid w:val="00112AEC"/>
    <w:rsid w:val="00113745"/>
    <w:rsid w:val="001149A6"/>
    <w:rsid w:val="00115597"/>
    <w:rsid w:val="00115E6B"/>
    <w:rsid w:val="00120348"/>
    <w:rsid w:val="00120AA7"/>
    <w:rsid w:val="0012160D"/>
    <w:rsid w:val="001217B0"/>
    <w:rsid w:val="00121C0A"/>
    <w:rsid w:val="00121CED"/>
    <w:rsid w:val="001220E8"/>
    <w:rsid w:val="0012283F"/>
    <w:rsid w:val="00122ABB"/>
    <w:rsid w:val="00124EAF"/>
    <w:rsid w:val="001277D5"/>
    <w:rsid w:val="00131B13"/>
    <w:rsid w:val="00132A21"/>
    <w:rsid w:val="00133458"/>
    <w:rsid w:val="00133A2C"/>
    <w:rsid w:val="00133EB5"/>
    <w:rsid w:val="0013462F"/>
    <w:rsid w:val="00134DF6"/>
    <w:rsid w:val="00134F4B"/>
    <w:rsid w:val="00135F43"/>
    <w:rsid w:val="00136624"/>
    <w:rsid w:val="001373EC"/>
    <w:rsid w:val="00140242"/>
    <w:rsid w:val="001407E1"/>
    <w:rsid w:val="00140FA9"/>
    <w:rsid w:val="00141A0B"/>
    <w:rsid w:val="00142FE1"/>
    <w:rsid w:val="00143F87"/>
    <w:rsid w:val="001443B6"/>
    <w:rsid w:val="00144787"/>
    <w:rsid w:val="00145F60"/>
    <w:rsid w:val="0014731C"/>
    <w:rsid w:val="001474FC"/>
    <w:rsid w:val="00147CD6"/>
    <w:rsid w:val="00147EF3"/>
    <w:rsid w:val="00150226"/>
    <w:rsid w:val="00150240"/>
    <w:rsid w:val="00151121"/>
    <w:rsid w:val="00152043"/>
    <w:rsid w:val="001524A2"/>
    <w:rsid w:val="0015296B"/>
    <w:rsid w:val="00152D69"/>
    <w:rsid w:val="001537A1"/>
    <w:rsid w:val="00155628"/>
    <w:rsid w:val="00155DE1"/>
    <w:rsid w:val="00157760"/>
    <w:rsid w:val="00157D20"/>
    <w:rsid w:val="00157EA3"/>
    <w:rsid w:val="001608C4"/>
    <w:rsid w:val="001611B2"/>
    <w:rsid w:val="00162298"/>
    <w:rsid w:val="00162A01"/>
    <w:rsid w:val="00162CFD"/>
    <w:rsid w:val="00163415"/>
    <w:rsid w:val="0016373E"/>
    <w:rsid w:val="0016434A"/>
    <w:rsid w:val="001647F5"/>
    <w:rsid w:val="0016628E"/>
    <w:rsid w:val="001669C9"/>
    <w:rsid w:val="00166C7F"/>
    <w:rsid w:val="00167AE7"/>
    <w:rsid w:val="00167FBB"/>
    <w:rsid w:val="00172207"/>
    <w:rsid w:val="001724BC"/>
    <w:rsid w:val="00173C1D"/>
    <w:rsid w:val="001755CE"/>
    <w:rsid w:val="00176096"/>
    <w:rsid w:val="00176B68"/>
    <w:rsid w:val="00176CD9"/>
    <w:rsid w:val="00180301"/>
    <w:rsid w:val="00180A4F"/>
    <w:rsid w:val="00181A21"/>
    <w:rsid w:val="00181F44"/>
    <w:rsid w:val="00181FE3"/>
    <w:rsid w:val="00182271"/>
    <w:rsid w:val="00184595"/>
    <w:rsid w:val="0018491F"/>
    <w:rsid w:val="001854B1"/>
    <w:rsid w:val="0018595B"/>
    <w:rsid w:val="00185C9E"/>
    <w:rsid w:val="00186CD1"/>
    <w:rsid w:val="00190BFB"/>
    <w:rsid w:val="00190EA7"/>
    <w:rsid w:val="00191781"/>
    <w:rsid w:val="00192AA9"/>
    <w:rsid w:val="001934D3"/>
    <w:rsid w:val="00194C79"/>
    <w:rsid w:val="00195C7F"/>
    <w:rsid w:val="00196097"/>
    <w:rsid w:val="0019630A"/>
    <w:rsid w:val="00196D02"/>
    <w:rsid w:val="001A011E"/>
    <w:rsid w:val="001A0484"/>
    <w:rsid w:val="001A1653"/>
    <w:rsid w:val="001A1C8F"/>
    <w:rsid w:val="001A26B6"/>
    <w:rsid w:val="001A31D3"/>
    <w:rsid w:val="001A409C"/>
    <w:rsid w:val="001A4D5B"/>
    <w:rsid w:val="001A52DA"/>
    <w:rsid w:val="001A5EAD"/>
    <w:rsid w:val="001A6DCB"/>
    <w:rsid w:val="001A71BE"/>
    <w:rsid w:val="001A73FF"/>
    <w:rsid w:val="001B00EB"/>
    <w:rsid w:val="001B27A9"/>
    <w:rsid w:val="001B2801"/>
    <w:rsid w:val="001B39BB"/>
    <w:rsid w:val="001B40E8"/>
    <w:rsid w:val="001B527F"/>
    <w:rsid w:val="001B5703"/>
    <w:rsid w:val="001C0E5E"/>
    <w:rsid w:val="001C10FD"/>
    <w:rsid w:val="001C2CB9"/>
    <w:rsid w:val="001C4E46"/>
    <w:rsid w:val="001C78F3"/>
    <w:rsid w:val="001C7BA3"/>
    <w:rsid w:val="001D05CD"/>
    <w:rsid w:val="001D18FD"/>
    <w:rsid w:val="001D1F9A"/>
    <w:rsid w:val="001D487B"/>
    <w:rsid w:val="001D538C"/>
    <w:rsid w:val="001D72C1"/>
    <w:rsid w:val="001D7D49"/>
    <w:rsid w:val="001E1C73"/>
    <w:rsid w:val="001E324F"/>
    <w:rsid w:val="001E35F6"/>
    <w:rsid w:val="001E75FD"/>
    <w:rsid w:val="001E7EBD"/>
    <w:rsid w:val="001F10E8"/>
    <w:rsid w:val="001F1F76"/>
    <w:rsid w:val="001F2D12"/>
    <w:rsid w:val="001F3453"/>
    <w:rsid w:val="001F3B79"/>
    <w:rsid w:val="001F3CC9"/>
    <w:rsid w:val="001F4AB1"/>
    <w:rsid w:val="001F5F6D"/>
    <w:rsid w:val="001F7238"/>
    <w:rsid w:val="001F732C"/>
    <w:rsid w:val="001F761F"/>
    <w:rsid w:val="0020127B"/>
    <w:rsid w:val="00201EAD"/>
    <w:rsid w:val="00202DE4"/>
    <w:rsid w:val="00202E68"/>
    <w:rsid w:val="0020314B"/>
    <w:rsid w:val="00203422"/>
    <w:rsid w:val="0020444B"/>
    <w:rsid w:val="0020608D"/>
    <w:rsid w:val="00206479"/>
    <w:rsid w:val="00206A12"/>
    <w:rsid w:val="00206C32"/>
    <w:rsid w:val="00212138"/>
    <w:rsid w:val="00212793"/>
    <w:rsid w:val="0021353D"/>
    <w:rsid w:val="00213A0E"/>
    <w:rsid w:val="00213D03"/>
    <w:rsid w:val="00214A49"/>
    <w:rsid w:val="002165FF"/>
    <w:rsid w:val="00217261"/>
    <w:rsid w:val="00221575"/>
    <w:rsid w:val="002221A1"/>
    <w:rsid w:val="002225DA"/>
    <w:rsid w:val="00222969"/>
    <w:rsid w:val="00222F99"/>
    <w:rsid w:val="00223018"/>
    <w:rsid w:val="002234E9"/>
    <w:rsid w:val="00223940"/>
    <w:rsid w:val="00224E29"/>
    <w:rsid w:val="00226A5C"/>
    <w:rsid w:val="00232DFF"/>
    <w:rsid w:val="0023546C"/>
    <w:rsid w:val="00235CB3"/>
    <w:rsid w:val="00236BFB"/>
    <w:rsid w:val="002378B5"/>
    <w:rsid w:val="00237E45"/>
    <w:rsid w:val="0024078F"/>
    <w:rsid w:val="00240B8F"/>
    <w:rsid w:val="00240F43"/>
    <w:rsid w:val="00241802"/>
    <w:rsid w:val="00242590"/>
    <w:rsid w:val="00244C28"/>
    <w:rsid w:val="0024634F"/>
    <w:rsid w:val="00246D7D"/>
    <w:rsid w:val="00250AD3"/>
    <w:rsid w:val="0025116D"/>
    <w:rsid w:val="002559EF"/>
    <w:rsid w:val="00255C84"/>
    <w:rsid w:val="00256914"/>
    <w:rsid w:val="00256948"/>
    <w:rsid w:val="00256D7F"/>
    <w:rsid w:val="00256FEB"/>
    <w:rsid w:val="00257663"/>
    <w:rsid w:val="00260303"/>
    <w:rsid w:val="0026067C"/>
    <w:rsid w:val="002613B1"/>
    <w:rsid w:val="002619E7"/>
    <w:rsid w:val="002624EE"/>
    <w:rsid w:val="00264AD7"/>
    <w:rsid w:val="002660E0"/>
    <w:rsid w:val="00266A3C"/>
    <w:rsid w:val="00267578"/>
    <w:rsid w:val="0027004E"/>
    <w:rsid w:val="00270980"/>
    <w:rsid w:val="00273DF7"/>
    <w:rsid w:val="002742D2"/>
    <w:rsid w:val="00274EB0"/>
    <w:rsid w:val="00274ED5"/>
    <w:rsid w:val="002760C2"/>
    <w:rsid w:val="00277631"/>
    <w:rsid w:val="00277D7B"/>
    <w:rsid w:val="0028058B"/>
    <w:rsid w:val="00280EAC"/>
    <w:rsid w:val="00281417"/>
    <w:rsid w:val="00281648"/>
    <w:rsid w:val="002827E6"/>
    <w:rsid w:val="00282C11"/>
    <w:rsid w:val="00282F9C"/>
    <w:rsid w:val="00283D89"/>
    <w:rsid w:val="00285BCC"/>
    <w:rsid w:val="00285C75"/>
    <w:rsid w:val="0028680C"/>
    <w:rsid w:val="00287249"/>
    <w:rsid w:val="002879C5"/>
    <w:rsid w:val="00292518"/>
    <w:rsid w:val="002950F7"/>
    <w:rsid w:val="00295123"/>
    <w:rsid w:val="00295C22"/>
    <w:rsid w:val="00295C42"/>
    <w:rsid w:val="0029608C"/>
    <w:rsid w:val="00296194"/>
    <w:rsid w:val="002A0A54"/>
    <w:rsid w:val="002A0C4E"/>
    <w:rsid w:val="002A1BBC"/>
    <w:rsid w:val="002A2071"/>
    <w:rsid w:val="002A2F45"/>
    <w:rsid w:val="002A305C"/>
    <w:rsid w:val="002A492F"/>
    <w:rsid w:val="002A5246"/>
    <w:rsid w:val="002A5711"/>
    <w:rsid w:val="002A6190"/>
    <w:rsid w:val="002A7B67"/>
    <w:rsid w:val="002A7F82"/>
    <w:rsid w:val="002B1102"/>
    <w:rsid w:val="002B12A0"/>
    <w:rsid w:val="002B16E0"/>
    <w:rsid w:val="002B21BD"/>
    <w:rsid w:val="002B39E3"/>
    <w:rsid w:val="002B4DCD"/>
    <w:rsid w:val="002B55CB"/>
    <w:rsid w:val="002B6131"/>
    <w:rsid w:val="002B7F55"/>
    <w:rsid w:val="002C0DC6"/>
    <w:rsid w:val="002C17DE"/>
    <w:rsid w:val="002C1D14"/>
    <w:rsid w:val="002C25CA"/>
    <w:rsid w:val="002C2602"/>
    <w:rsid w:val="002C268B"/>
    <w:rsid w:val="002C4F9F"/>
    <w:rsid w:val="002C4FA6"/>
    <w:rsid w:val="002C77D4"/>
    <w:rsid w:val="002C7B03"/>
    <w:rsid w:val="002D0044"/>
    <w:rsid w:val="002D1F45"/>
    <w:rsid w:val="002D29D5"/>
    <w:rsid w:val="002D4AE8"/>
    <w:rsid w:val="002D553C"/>
    <w:rsid w:val="002D7216"/>
    <w:rsid w:val="002E0253"/>
    <w:rsid w:val="002E0DE8"/>
    <w:rsid w:val="002E1342"/>
    <w:rsid w:val="002E196C"/>
    <w:rsid w:val="002E2644"/>
    <w:rsid w:val="002E2817"/>
    <w:rsid w:val="002E3321"/>
    <w:rsid w:val="002E33F6"/>
    <w:rsid w:val="002E3815"/>
    <w:rsid w:val="002E4283"/>
    <w:rsid w:val="002E44E5"/>
    <w:rsid w:val="002E49FE"/>
    <w:rsid w:val="002E55C3"/>
    <w:rsid w:val="002E5996"/>
    <w:rsid w:val="002E60DF"/>
    <w:rsid w:val="002E6357"/>
    <w:rsid w:val="002E6F20"/>
    <w:rsid w:val="002E6F92"/>
    <w:rsid w:val="002E7680"/>
    <w:rsid w:val="002F046D"/>
    <w:rsid w:val="002F05EE"/>
    <w:rsid w:val="002F1916"/>
    <w:rsid w:val="002F1DD7"/>
    <w:rsid w:val="002F1F27"/>
    <w:rsid w:val="002F3AC1"/>
    <w:rsid w:val="002F414B"/>
    <w:rsid w:val="002F5805"/>
    <w:rsid w:val="002F7EF1"/>
    <w:rsid w:val="003001FD"/>
    <w:rsid w:val="003014E8"/>
    <w:rsid w:val="003023B0"/>
    <w:rsid w:val="003037BA"/>
    <w:rsid w:val="003044C1"/>
    <w:rsid w:val="00304E62"/>
    <w:rsid w:val="00305B09"/>
    <w:rsid w:val="003061B7"/>
    <w:rsid w:val="003105E4"/>
    <w:rsid w:val="00311297"/>
    <w:rsid w:val="00311BE3"/>
    <w:rsid w:val="00315BEC"/>
    <w:rsid w:val="00316D5E"/>
    <w:rsid w:val="003207FA"/>
    <w:rsid w:val="0032094E"/>
    <w:rsid w:val="00321CD1"/>
    <w:rsid w:val="00322B3E"/>
    <w:rsid w:val="00323EFD"/>
    <w:rsid w:val="0032448C"/>
    <w:rsid w:val="0032632C"/>
    <w:rsid w:val="0032683C"/>
    <w:rsid w:val="00327828"/>
    <w:rsid w:val="0033075A"/>
    <w:rsid w:val="003328DA"/>
    <w:rsid w:val="003340A3"/>
    <w:rsid w:val="00335369"/>
    <w:rsid w:val="00335B6E"/>
    <w:rsid w:val="00336D8B"/>
    <w:rsid w:val="00336F63"/>
    <w:rsid w:val="003376B6"/>
    <w:rsid w:val="00337FF5"/>
    <w:rsid w:val="00341A0C"/>
    <w:rsid w:val="003432EF"/>
    <w:rsid w:val="00344086"/>
    <w:rsid w:val="00344FA3"/>
    <w:rsid w:val="00346555"/>
    <w:rsid w:val="003476E0"/>
    <w:rsid w:val="00347756"/>
    <w:rsid w:val="003505B1"/>
    <w:rsid w:val="00350806"/>
    <w:rsid w:val="003512DD"/>
    <w:rsid w:val="0035244C"/>
    <w:rsid w:val="003529CC"/>
    <w:rsid w:val="003534DB"/>
    <w:rsid w:val="00354307"/>
    <w:rsid w:val="00355277"/>
    <w:rsid w:val="00356290"/>
    <w:rsid w:val="00357EA7"/>
    <w:rsid w:val="00361DC6"/>
    <w:rsid w:val="00362262"/>
    <w:rsid w:val="003627FC"/>
    <w:rsid w:val="00362A62"/>
    <w:rsid w:val="003632A0"/>
    <w:rsid w:val="00363396"/>
    <w:rsid w:val="00364231"/>
    <w:rsid w:val="00365B74"/>
    <w:rsid w:val="00365D7C"/>
    <w:rsid w:val="00366FDE"/>
    <w:rsid w:val="003706BF"/>
    <w:rsid w:val="0037085A"/>
    <w:rsid w:val="003726D1"/>
    <w:rsid w:val="00373449"/>
    <w:rsid w:val="00373AC7"/>
    <w:rsid w:val="0037517C"/>
    <w:rsid w:val="0037532C"/>
    <w:rsid w:val="00376F6E"/>
    <w:rsid w:val="00377D85"/>
    <w:rsid w:val="00380646"/>
    <w:rsid w:val="0038160C"/>
    <w:rsid w:val="00381A92"/>
    <w:rsid w:val="00381E8E"/>
    <w:rsid w:val="003836BF"/>
    <w:rsid w:val="00383EDB"/>
    <w:rsid w:val="00384E75"/>
    <w:rsid w:val="00385514"/>
    <w:rsid w:val="003872B5"/>
    <w:rsid w:val="00387A78"/>
    <w:rsid w:val="00387A90"/>
    <w:rsid w:val="003904AE"/>
    <w:rsid w:val="00390DF6"/>
    <w:rsid w:val="00391F3B"/>
    <w:rsid w:val="00394F92"/>
    <w:rsid w:val="003956D0"/>
    <w:rsid w:val="00395BAF"/>
    <w:rsid w:val="00395D53"/>
    <w:rsid w:val="003966A6"/>
    <w:rsid w:val="003969B2"/>
    <w:rsid w:val="00396C0F"/>
    <w:rsid w:val="00396C83"/>
    <w:rsid w:val="003978F9"/>
    <w:rsid w:val="003A2F1D"/>
    <w:rsid w:val="003A4CF3"/>
    <w:rsid w:val="003A4D2C"/>
    <w:rsid w:val="003A5255"/>
    <w:rsid w:val="003A7561"/>
    <w:rsid w:val="003B0062"/>
    <w:rsid w:val="003B08AA"/>
    <w:rsid w:val="003B1820"/>
    <w:rsid w:val="003B221E"/>
    <w:rsid w:val="003B37F8"/>
    <w:rsid w:val="003B4D02"/>
    <w:rsid w:val="003B4E92"/>
    <w:rsid w:val="003B56ED"/>
    <w:rsid w:val="003B58E8"/>
    <w:rsid w:val="003B682C"/>
    <w:rsid w:val="003B786E"/>
    <w:rsid w:val="003C0B9E"/>
    <w:rsid w:val="003C1917"/>
    <w:rsid w:val="003C1C94"/>
    <w:rsid w:val="003C3A24"/>
    <w:rsid w:val="003C6085"/>
    <w:rsid w:val="003D16BC"/>
    <w:rsid w:val="003D2DD4"/>
    <w:rsid w:val="003D2DDC"/>
    <w:rsid w:val="003D2FA5"/>
    <w:rsid w:val="003D3F35"/>
    <w:rsid w:val="003D49B3"/>
    <w:rsid w:val="003D5E50"/>
    <w:rsid w:val="003D6360"/>
    <w:rsid w:val="003D68E1"/>
    <w:rsid w:val="003D7FAC"/>
    <w:rsid w:val="003E0C4C"/>
    <w:rsid w:val="003E183B"/>
    <w:rsid w:val="003E198E"/>
    <w:rsid w:val="003E249A"/>
    <w:rsid w:val="003E3282"/>
    <w:rsid w:val="003E3C7E"/>
    <w:rsid w:val="003E408F"/>
    <w:rsid w:val="003E4967"/>
    <w:rsid w:val="003E4D0E"/>
    <w:rsid w:val="003E5095"/>
    <w:rsid w:val="003E5C8B"/>
    <w:rsid w:val="003E618C"/>
    <w:rsid w:val="003E6573"/>
    <w:rsid w:val="003E6A80"/>
    <w:rsid w:val="003E7B6E"/>
    <w:rsid w:val="003E7E78"/>
    <w:rsid w:val="003F0CEB"/>
    <w:rsid w:val="003F1497"/>
    <w:rsid w:val="003F2A12"/>
    <w:rsid w:val="003F30E8"/>
    <w:rsid w:val="003F38A6"/>
    <w:rsid w:val="003F400B"/>
    <w:rsid w:val="003F421C"/>
    <w:rsid w:val="003F67A3"/>
    <w:rsid w:val="003F7729"/>
    <w:rsid w:val="003F7947"/>
    <w:rsid w:val="004027DC"/>
    <w:rsid w:val="004031C1"/>
    <w:rsid w:val="00403803"/>
    <w:rsid w:val="00403C01"/>
    <w:rsid w:val="00406023"/>
    <w:rsid w:val="00406F46"/>
    <w:rsid w:val="0040788A"/>
    <w:rsid w:val="00407ACE"/>
    <w:rsid w:val="00410A6E"/>
    <w:rsid w:val="00411C38"/>
    <w:rsid w:val="00412757"/>
    <w:rsid w:val="00413818"/>
    <w:rsid w:val="0041496C"/>
    <w:rsid w:val="004152FF"/>
    <w:rsid w:val="00420479"/>
    <w:rsid w:val="00420588"/>
    <w:rsid w:val="00421BC5"/>
    <w:rsid w:val="00422516"/>
    <w:rsid w:val="00423A42"/>
    <w:rsid w:val="0042419B"/>
    <w:rsid w:val="004242E5"/>
    <w:rsid w:val="0042679E"/>
    <w:rsid w:val="004268DE"/>
    <w:rsid w:val="00426B58"/>
    <w:rsid w:val="00427001"/>
    <w:rsid w:val="00427405"/>
    <w:rsid w:val="004278F4"/>
    <w:rsid w:val="00427ACA"/>
    <w:rsid w:val="00430290"/>
    <w:rsid w:val="00430867"/>
    <w:rsid w:val="00432B0A"/>
    <w:rsid w:val="004334DC"/>
    <w:rsid w:val="00434043"/>
    <w:rsid w:val="00434224"/>
    <w:rsid w:val="00434C48"/>
    <w:rsid w:val="00435CCA"/>
    <w:rsid w:val="00435D08"/>
    <w:rsid w:val="00436943"/>
    <w:rsid w:val="00440B8C"/>
    <w:rsid w:val="00440E1F"/>
    <w:rsid w:val="00445641"/>
    <w:rsid w:val="00447EC8"/>
    <w:rsid w:val="0045001C"/>
    <w:rsid w:val="0045040C"/>
    <w:rsid w:val="004511CF"/>
    <w:rsid w:val="0045252F"/>
    <w:rsid w:val="004537C1"/>
    <w:rsid w:val="004539E2"/>
    <w:rsid w:val="00453D35"/>
    <w:rsid w:val="004551D8"/>
    <w:rsid w:val="00455440"/>
    <w:rsid w:val="00455B4E"/>
    <w:rsid w:val="00455D2F"/>
    <w:rsid w:val="0045602C"/>
    <w:rsid w:val="0045723A"/>
    <w:rsid w:val="00461677"/>
    <w:rsid w:val="00461D3A"/>
    <w:rsid w:val="00461FC7"/>
    <w:rsid w:val="004620FB"/>
    <w:rsid w:val="00462438"/>
    <w:rsid w:val="00462B1F"/>
    <w:rsid w:val="00463034"/>
    <w:rsid w:val="004645F2"/>
    <w:rsid w:val="0046544C"/>
    <w:rsid w:val="00465F60"/>
    <w:rsid w:val="0046685E"/>
    <w:rsid w:val="00466B54"/>
    <w:rsid w:val="004714DC"/>
    <w:rsid w:val="004718DC"/>
    <w:rsid w:val="00471969"/>
    <w:rsid w:val="00472215"/>
    <w:rsid w:val="00473F81"/>
    <w:rsid w:val="00475776"/>
    <w:rsid w:val="00475D0A"/>
    <w:rsid w:val="00477E57"/>
    <w:rsid w:val="00480606"/>
    <w:rsid w:val="004816A5"/>
    <w:rsid w:val="00482D3C"/>
    <w:rsid w:val="0048378E"/>
    <w:rsid w:val="00483CDF"/>
    <w:rsid w:val="00484329"/>
    <w:rsid w:val="004846A9"/>
    <w:rsid w:val="00484E22"/>
    <w:rsid w:val="00485088"/>
    <w:rsid w:val="004867A6"/>
    <w:rsid w:val="00486E38"/>
    <w:rsid w:val="00487958"/>
    <w:rsid w:val="00487DFB"/>
    <w:rsid w:val="004911F1"/>
    <w:rsid w:val="00491AD7"/>
    <w:rsid w:val="00492407"/>
    <w:rsid w:val="00492595"/>
    <w:rsid w:val="0049459B"/>
    <w:rsid w:val="00494A5F"/>
    <w:rsid w:val="00495E0E"/>
    <w:rsid w:val="00495EA1"/>
    <w:rsid w:val="0049605D"/>
    <w:rsid w:val="00496F5D"/>
    <w:rsid w:val="00497278"/>
    <w:rsid w:val="00497D8C"/>
    <w:rsid w:val="004A2F2E"/>
    <w:rsid w:val="004A370E"/>
    <w:rsid w:val="004A37C6"/>
    <w:rsid w:val="004A4289"/>
    <w:rsid w:val="004A4345"/>
    <w:rsid w:val="004A4950"/>
    <w:rsid w:val="004A53F4"/>
    <w:rsid w:val="004A586D"/>
    <w:rsid w:val="004A6481"/>
    <w:rsid w:val="004A6BB5"/>
    <w:rsid w:val="004A7D3F"/>
    <w:rsid w:val="004A7EEC"/>
    <w:rsid w:val="004A7F79"/>
    <w:rsid w:val="004A7FF8"/>
    <w:rsid w:val="004B0613"/>
    <w:rsid w:val="004B17F9"/>
    <w:rsid w:val="004B273C"/>
    <w:rsid w:val="004B2AED"/>
    <w:rsid w:val="004B2DB6"/>
    <w:rsid w:val="004B304E"/>
    <w:rsid w:val="004B3D43"/>
    <w:rsid w:val="004B3E59"/>
    <w:rsid w:val="004B5A9C"/>
    <w:rsid w:val="004B5DE4"/>
    <w:rsid w:val="004B5E04"/>
    <w:rsid w:val="004B6D21"/>
    <w:rsid w:val="004B6F63"/>
    <w:rsid w:val="004B6FB5"/>
    <w:rsid w:val="004B7966"/>
    <w:rsid w:val="004C1454"/>
    <w:rsid w:val="004C182F"/>
    <w:rsid w:val="004C3957"/>
    <w:rsid w:val="004C4624"/>
    <w:rsid w:val="004C48DA"/>
    <w:rsid w:val="004C5518"/>
    <w:rsid w:val="004C6974"/>
    <w:rsid w:val="004D04B7"/>
    <w:rsid w:val="004D0FA2"/>
    <w:rsid w:val="004D3192"/>
    <w:rsid w:val="004D4BDA"/>
    <w:rsid w:val="004D5573"/>
    <w:rsid w:val="004E4466"/>
    <w:rsid w:val="004E4F60"/>
    <w:rsid w:val="004E518A"/>
    <w:rsid w:val="004E53E3"/>
    <w:rsid w:val="004F110A"/>
    <w:rsid w:val="004F12BF"/>
    <w:rsid w:val="004F21F3"/>
    <w:rsid w:val="004F3AD7"/>
    <w:rsid w:val="004F404D"/>
    <w:rsid w:val="004F4733"/>
    <w:rsid w:val="004F4D2D"/>
    <w:rsid w:val="004F56EC"/>
    <w:rsid w:val="004F6209"/>
    <w:rsid w:val="004F6806"/>
    <w:rsid w:val="004F686E"/>
    <w:rsid w:val="004F6A51"/>
    <w:rsid w:val="004F769C"/>
    <w:rsid w:val="004F7CE3"/>
    <w:rsid w:val="00501CF5"/>
    <w:rsid w:val="0050653A"/>
    <w:rsid w:val="00506DB3"/>
    <w:rsid w:val="005071F0"/>
    <w:rsid w:val="00507895"/>
    <w:rsid w:val="00507A9F"/>
    <w:rsid w:val="00510A98"/>
    <w:rsid w:val="00510BFF"/>
    <w:rsid w:val="0051115E"/>
    <w:rsid w:val="0051265F"/>
    <w:rsid w:val="00513073"/>
    <w:rsid w:val="00513F14"/>
    <w:rsid w:val="00514F67"/>
    <w:rsid w:val="00515589"/>
    <w:rsid w:val="005157CC"/>
    <w:rsid w:val="00515D43"/>
    <w:rsid w:val="00516F68"/>
    <w:rsid w:val="00520486"/>
    <w:rsid w:val="00520B00"/>
    <w:rsid w:val="00521806"/>
    <w:rsid w:val="00521FD3"/>
    <w:rsid w:val="00522267"/>
    <w:rsid w:val="005223C6"/>
    <w:rsid w:val="00522433"/>
    <w:rsid w:val="005226E1"/>
    <w:rsid w:val="00522851"/>
    <w:rsid w:val="005235AA"/>
    <w:rsid w:val="00525CA2"/>
    <w:rsid w:val="00525F38"/>
    <w:rsid w:val="00526B7D"/>
    <w:rsid w:val="005276DB"/>
    <w:rsid w:val="00527D2A"/>
    <w:rsid w:val="0053017F"/>
    <w:rsid w:val="00531261"/>
    <w:rsid w:val="00531FDB"/>
    <w:rsid w:val="0053231A"/>
    <w:rsid w:val="00532907"/>
    <w:rsid w:val="0053316B"/>
    <w:rsid w:val="00533BC5"/>
    <w:rsid w:val="0053453D"/>
    <w:rsid w:val="005357F0"/>
    <w:rsid w:val="00536307"/>
    <w:rsid w:val="0053737D"/>
    <w:rsid w:val="0054001F"/>
    <w:rsid w:val="00540C90"/>
    <w:rsid w:val="00541122"/>
    <w:rsid w:val="00542B07"/>
    <w:rsid w:val="005434EB"/>
    <w:rsid w:val="00543624"/>
    <w:rsid w:val="00543A0E"/>
    <w:rsid w:val="00543BFD"/>
    <w:rsid w:val="0054504D"/>
    <w:rsid w:val="005457D7"/>
    <w:rsid w:val="00545F4B"/>
    <w:rsid w:val="005462D8"/>
    <w:rsid w:val="00547302"/>
    <w:rsid w:val="00550703"/>
    <w:rsid w:val="00551323"/>
    <w:rsid w:val="0055241D"/>
    <w:rsid w:val="00552C57"/>
    <w:rsid w:val="00553501"/>
    <w:rsid w:val="00553AF3"/>
    <w:rsid w:val="0055483A"/>
    <w:rsid w:val="00555BDF"/>
    <w:rsid w:val="00555D02"/>
    <w:rsid w:val="00555E52"/>
    <w:rsid w:val="00555F23"/>
    <w:rsid w:val="00555FF1"/>
    <w:rsid w:val="00562D3F"/>
    <w:rsid w:val="005631C1"/>
    <w:rsid w:val="005632B0"/>
    <w:rsid w:val="005632B8"/>
    <w:rsid w:val="0056348F"/>
    <w:rsid w:val="00565395"/>
    <w:rsid w:val="00565C37"/>
    <w:rsid w:val="00565E56"/>
    <w:rsid w:val="00567BD3"/>
    <w:rsid w:val="00567BE9"/>
    <w:rsid w:val="00570170"/>
    <w:rsid w:val="005705AA"/>
    <w:rsid w:val="00570BD8"/>
    <w:rsid w:val="00572240"/>
    <w:rsid w:val="005728A7"/>
    <w:rsid w:val="00574DE8"/>
    <w:rsid w:val="00575BA3"/>
    <w:rsid w:val="005762E8"/>
    <w:rsid w:val="005806C2"/>
    <w:rsid w:val="00580DB0"/>
    <w:rsid w:val="00581EA5"/>
    <w:rsid w:val="00585AB1"/>
    <w:rsid w:val="005864DC"/>
    <w:rsid w:val="005865BB"/>
    <w:rsid w:val="00586853"/>
    <w:rsid w:val="005869E9"/>
    <w:rsid w:val="00587CBC"/>
    <w:rsid w:val="00587E51"/>
    <w:rsid w:val="00587E74"/>
    <w:rsid w:val="00587FAA"/>
    <w:rsid w:val="00590A87"/>
    <w:rsid w:val="0059228B"/>
    <w:rsid w:val="00594C15"/>
    <w:rsid w:val="0059538A"/>
    <w:rsid w:val="005A0C97"/>
    <w:rsid w:val="005A12BA"/>
    <w:rsid w:val="005A3156"/>
    <w:rsid w:val="005A5820"/>
    <w:rsid w:val="005A5AC6"/>
    <w:rsid w:val="005A5B2A"/>
    <w:rsid w:val="005A65DD"/>
    <w:rsid w:val="005A6AA8"/>
    <w:rsid w:val="005A7EDA"/>
    <w:rsid w:val="005B1CAA"/>
    <w:rsid w:val="005B33E1"/>
    <w:rsid w:val="005B4C94"/>
    <w:rsid w:val="005B4F04"/>
    <w:rsid w:val="005B6759"/>
    <w:rsid w:val="005B79F4"/>
    <w:rsid w:val="005B7D35"/>
    <w:rsid w:val="005C048A"/>
    <w:rsid w:val="005C1505"/>
    <w:rsid w:val="005C2066"/>
    <w:rsid w:val="005C3069"/>
    <w:rsid w:val="005C4025"/>
    <w:rsid w:val="005C7DFC"/>
    <w:rsid w:val="005D1688"/>
    <w:rsid w:val="005D3163"/>
    <w:rsid w:val="005D3ABE"/>
    <w:rsid w:val="005D3E14"/>
    <w:rsid w:val="005D3E18"/>
    <w:rsid w:val="005D424B"/>
    <w:rsid w:val="005D5566"/>
    <w:rsid w:val="005D5743"/>
    <w:rsid w:val="005D5928"/>
    <w:rsid w:val="005D7352"/>
    <w:rsid w:val="005D7610"/>
    <w:rsid w:val="005D7986"/>
    <w:rsid w:val="005E0C34"/>
    <w:rsid w:val="005E25C7"/>
    <w:rsid w:val="005E3062"/>
    <w:rsid w:val="005E3960"/>
    <w:rsid w:val="005E731C"/>
    <w:rsid w:val="005F2EC2"/>
    <w:rsid w:val="005F3384"/>
    <w:rsid w:val="005F4087"/>
    <w:rsid w:val="005F4B14"/>
    <w:rsid w:val="005F4C6E"/>
    <w:rsid w:val="005F5CF8"/>
    <w:rsid w:val="005F6325"/>
    <w:rsid w:val="005F6F46"/>
    <w:rsid w:val="005F7076"/>
    <w:rsid w:val="005F7779"/>
    <w:rsid w:val="005F7ADC"/>
    <w:rsid w:val="005F7D66"/>
    <w:rsid w:val="0060107E"/>
    <w:rsid w:val="0060135C"/>
    <w:rsid w:val="006057A9"/>
    <w:rsid w:val="0060620F"/>
    <w:rsid w:val="006065B8"/>
    <w:rsid w:val="00606C6D"/>
    <w:rsid w:val="0061021A"/>
    <w:rsid w:val="00611672"/>
    <w:rsid w:val="00611AED"/>
    <w:rsid w:val="00612C3F"/>
    <w:rsid w:val="00612F76"/>
    <w:rsid w:val="00616EAD"/>
    <w:rsid w:val="0062061F"/>
    <w:rsid w:val="00621F49"/>
    <w:rsid w:val="00622D64"/>
    <w:rsid w:val="00623D3F"/>
    <w:rsid w:val="006249A5"/>
    <w:rsid w:val="00624A77"/>
    <w:rsid w:val="00624C38"/>
    <w:rsid w:val="00624F02"/>
    <w:rsid w:val="006264C2"/>
    <w:rsid w:val="00626530"/>
    <w:rsid w:val="00626BA1"/>
    <w:rsid w:val="00626EF4"/>
    <w:rsid w:val="006272CB"/>
    <w:rsid w:val="006274F2"/>
    <w:rsid w:val="00627A86"/>
    <w:rsid w:val="00627F4A"/>
    <w:rsid w:val="00630F2E"/>
    <w:rsid w:val="00632434"/>
    <w:rsid w:val="0063288C"/>
    <w:rsid w:val="0063455D"/>
    <w:rsid w:val="00636858"/>
    <w:rsid w:val="00636C3E"/>
    <w:rsid w:val="006373AE"/>
    <w:rsid w:val="006375F7"/>
    <w:rsid w:val="00637800"/>
    <w:rsid w:val="0064079C"/>
    <w:rsid w:val="006417C6"/>
    <w:rsid w:val="00641E09"/>
    <w:rsid w:val="00642AC8"/>
    <w:rsid w:val="0064446A"/>
    <w:rsid w:val="00644F4E"/>
    <w:rsid w:val="00645114"/>
    <w:rsid w:val="0064572A"/>
    <w:rsid w:val="0064696E"/>
    <w:rsid w:val="00646CC6"/>
    <w:rsid w:val="006470BE"/>
    <w:rsid w:val="006478F1"/>
    <w:rsid w:val="00650291"/>
    <w:rsid w:val="00650738"/>
    <w:rsid w:val="00650B1A"/>
    <w:rsid w:val="00650C72"/>
    <w:rsid w:val="00655379"/>
    <w:rsid w:val="006556BC"/>
    <w:rsid w:val="0065583F"/>
    <w:rsid w:val="00655AA5"/>
    <w:rsid w:val="00657059"/>
    <w:rsid w:val="006609B0"/>
    <w:rsid w:val="00660B2A"/>
    <w:rsid w:val="00660C66"/>
    <w:rsid w:val="006611C4"/>
    <w:rsid w:val="00661668"/>
    <w:rsid w:val="00661757"/>
    <w:rsid w:val="00663210"/>
    <w:rsid w:val="00665CC9"/>
    <w:rsid w:val="00666915"/>
    <w:rsid w:val="00666A20"/>
    <w:rsid w:val="00666ADD"/>
    <w:rsid w:val="00670AE4"/>
    <w:rsid w:val="00670AEB"/>
    <w:rsid w:val="00670ECE"/>
    <w:rsid w:val="0067100A"/>
    <w:rsid w:val="00671384"/>
    <w:rsid w:val="00671725"/>
    <w:rsid w:val="00673C45"/>
    <w:rsid w:val="00673F5E"/>
    <w:rsid w:val="00674988"/>
    <w:rsid w:val="0067508C"/>
    <w:rsid w:val="00675163"/>
    <w:rsid w:val="0067551C"/>
    <w:rsid w:val="0067583F"/>
    <w:rsid w:val="00675ACC"/>
    <w:rsid w:val="00675D31"/>
    <w:rsid w:val="00676A06"/>
    <w:rsid w:val="0067760C"/>
    <w:rsid w:val="006828E1"/>
    <w:rsid w:val="00684ABE"/>
    <w:rsid w:val="00684F2E"/>
    <w:rsid w:val="00686E7A"/>
    <w:rsid w:val="00687431"/>
    <w:rsid w:val="00687568"/>
    <w:rsid w:val="0068756F"/>
    <w:rsid w:val="00687A21"/>
    <w:rsid w:val="00690585"/>
    <w:rsid w:val="0069090B"/>
    <w:rsid w:val="00694198"/>
    <w:rsid w:val="006946DF"/>
    <w:rsid w:val="00694DD8"/>
    <w:rsid w:val="00694DEB"/>
    <w:rsid w:val="006962AC"/>
    <w:rsid w:val="00697750"/>
    <w:rsid w:val="006A103B"/>
    <w:rsid w:val="006A12FB"/>
    <w:rsid w:val="006A42C1"/>
    <w:rsid w:val="006A452A"/>
    <w:rsid w:val="006A6348"/>
    <w:rsid w:val="006B0844"/>
    <w:rsid w:val="006B1B9A"/>
    <w:rsid w:val="006B21D1"/>
    <w:rsid w:val="006B3728"/>
    <w:rsid w:val="006B3751"/>
    <w:rsid w:val="006B3B28"/>
    <w:rsid w:val="006B52A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6D143B"/>
    <w:rsid w:val="006D193A"/>
    <w:rsid w:val="006D241B"/>
    <w:rsid w:val="006D26B4"/>
    <w:rsid w:val="006D4008"/>
    <w:rsid w:val="006D4737"/>
    <w:rsid w:val="006D4B07"/>
    <w:rsid w:val="006D5651"/>
    <w:rsid w:val="006D6714"/>
    <w:rsid w:val="006D7914"/>
    <w:rsid w:val="006E41C8"/>
    <w:rsid w:val="006E4926"/>
    <w:rsid w:val="006E4963"/>
    <w:rsid w:val="006E661C"/>
    <w:rsid w:val="006E6B0A"/>
    <w:rsid w:val="006F2B45"/>
    <w:rsid w:val="006F2DB8"/>
    <w:rsid w:val="006F3FA2"/>
    <w:rsid w:val="006F4AA1"/>
    <w:rsid w:val="006F4ED4"/>
    <w:rsid w:val="006F5126"/>
    <w:rsid w:val="006F58D3"/>
    <w:rsid w:val="006F5A0B"/>
    <w:rsid w:val="006F6214"/>
    <w:rsid w:val="006F6BD0"/>
    <w:rsid w:val="006F6E24"/>
    <w:rsid w:val="00702B6B"/>
    <w:rsid w:val="00702CDA"/>
    <w:rsid w:val="00705AF0"/>
    <w:rsid w:val="007062AE"/>
    <w:rsid w:val="007062C8"/>
    <w:rsid w:val="00706A02"/>
    <w:rsid w:val="00707006"/>
    <w:rsid w:val="00711338"/>
    <w:rsid w:val="007114AB"/>
    <w:rsid w:val="0071204E"/>
    <w:rsid w:val="0071275F"/>
    <w:rsid w:val="00713F38"/>
    <w:rsid w:val="0071543C"/>
    <w:rsid w:val="00720BAC"/>
    <w:rsid w:val="00724F3A"/>
    <w:rsid w:val="007256E5"/>
    <w:rsid w:val="00725F6C"/>
    <w:rsid w:val="0072621E"/>
    <w:rsid w:val="007262A3"/>
    <w:rsid w:val="00726B49"/>
    <w:rsid w:val="00726EED"/>
    <w:rsid w:val="00726F65"/>
    <w:rsid w:val="00730BB7"/>
    <w:rsid w:val="0073112F"/>
    <w:rsid w:val="0073282A"/>
    <w:rsid w:val="00733037"/>
    <w:rsid w:val="007337A6"/>
    <w:rsid w:val="00733CD8"/>
    <w:rsid w:val="00733DD9"/>
    <w:rsid w:val="0073406E"/>
    <w:rsid w:val="0073598D"/>
    <w:rsid w:val="00736441"/>
    <w:rsid w:val="00736B2F"/>
    <w:rsid w:val="007373B2"/>
    <w:rsid w:val="00740194"/>
    <w:rsid w:val="007405AB"/>
    <w:rsid w:val="0074090F"/>
    <w:rsid w:val="00741106"/>
    <w:rsid w:val="0074188A"/>
    <w:rsid w:val="007419DE"/>
    <w:rsid w:val="00743FC5"/>
    <w:rsid w:val="00744E3A"/>
    <w:rsid w:val="00745C2E"/>
    <w:rsid w:val="00746778"/>
    <w:rsid w:val="00746CAD"/>
    <w:rsid w:val="00746DBF"/>
    <w:rsid w:val="00747F7A"/>
    <w:rsid w:val="007506EA"/>
    <w:rsid w:val="007512B0"/>
    <w:rsid w:val="00751911"/>
    <w:rsid w:val="00751A60"/>
    <w:rsid w:val="00751F1C"/>
    <w:rsid w:val="00753014"/>
    <w:rsid w:val="007530A6"/>
    <w:rsid w:val="00753215"/>
    <w:rsid w:val="007549E5"/>
    <w:rsid w:val="0075561A"/>
    <w:rsid w:val="00756A2A"/>
    <w:rsid w:val="00757911"/>
    <w:rsid w:val="00757F53"/>
    <w:rsid w:val="00760281"/>
    <w:rsid w:val="00760BA4"/>
    <w:rsid w:val="00760C89"/>
    <w:rsid w:val="00762FF0"/>
    <w:rsid w:val="00763FA1"/>
    <w:rsid w:val="007641E2"/>
    <w:rsid w:val="00765049"/>
    <w:rsid w:val="00765306"/>
    <w:rsid w:val="007656AB"/>
    <w:rsid w:val="007676A5"/>
    <w:rsid w:val="007702B5"/>
    <w:rsid w:val="0077056C"/>
    <w:rsid w:val="00773098"/>
    <w:rsid w:val="007734F2"/>
    <w:rsid w:val="0077407A"/>
    <w:rsid w:val="00774884"/>
    <w:rsid w:val="00774DBA"/>
    <w:rsid w:val="00774F61"/>
    <w:rsid w:val="00775159"/>
    <w:rsid w:val="007755F2"/>
    <w:rsid w:val="007775E1"/>
    <w:rsid w:val="00777925"/>
    <w:rsid w:val="0078007F"/>
    <w:rsid w:val="00780833"/>
    <w:rsid w:val="00781311"/>
    <w:rsid w:val="00782B0D"/>
    <w:rsid w:val="00783597"/>
    <w:rsid w:val="007846AB"/>
    <w:rsid w:val="00784B2B"/>
    <w:rsid w:val="00785360"/>
    <w:rsid w:val="007853F4"/>
    <w:rsid w:val="00785F2D"/>
    <w:rsid w:val="00785F4E"/>
    <w:rsid w:val="00786574"/>
    <w:rsid w:val="00786A44"/>
    <w:rsid w:val="00787191"/>
    <w:rsid w:val="00790487"/>
    <w:rsid w:val="0079102E"/>
    <w:rsid w:val="0079168F"/>
    <w:rsid w:val="00791736"/>
    <w:rsid w:val="0079453E"/>
    <w:rsid w:val="00794AA6"/>
    <w:rsid w:val="00795457"/>
    <w:rsid w:val="0079561C"/>
    <w:rsid w:val="00795AE9"/>
    <w:rsid w:val="007A3174"/>
    <w:rsid w:val="007A38B1"/>
    <w:rsid w:val="007A41DF"/>
    <w:rsid w:val="007A57BC"/>
    <w:rsid w:val="007A6BB2"/>
    <w:rsid w:val="007A7BB6"/>
    <w:rsid w:val="007B079E"/>
    <w:rsid w:val="007B163E"/>
    <w:rsid w:val="007B330C"/>
    <w:rsid w:val="007B4205"/>
    <w:rsid w:val="007B4894"/>
    <w:rsid w:val="007B4FA7"/>
    <w:rsid w:val="007B7592"/>
    <w:rsid w:val="007B7655"/>
    <w:rsid w:val="007B7AEE"/>
    <w:rsid w:val="007C0D0C"/>
    <w:rsid w:val="007C42F9"/>
    <w:rsid w:val="007C471B"/>
    <w:rsid w:val="007C5C5D"/>
    <w:rsid w:val="007C6471"/>
    <w:rsid w:val="007C6577"/>
    <w:rsid w:val="007C6CB2"/>
    <w:rsid w:val="007D0FFD"/>
    <w:rsid w:val="007D108B"/>
    <w:rsid w:val="007D1DF7"/>
    <w:rsid w:val="007D4605"/>
    <w:rsid w:val="007D49D9"/>
    <w:rsid w:val="007D65B2"/>
    <w:rsid w:val="007E1804"/>
    <w:rsid w:val="007E38BC"/>
    <w:rsid w:val="007E7B31"/>
    <w:rsid w:val="007F0744"/>
    <w:rsid w:val="007F09C6"/>
    <w:rsid w:val="007F0D40"/>
    <w:rsid w:val="007F0FF6"/>
    <w:rsid w:val="007F0FF7"/>
    <w:rsid w:val="007F160D"/>
    <w:rsid w:val="007F2030"/>
    <w:rsid w:val="007F259E"/>
    <w:rsid w:val="007F2DFE"/>
    <w:rsid w:val="007F37D0"/>
    <w:rsid w:val="007F3E8F"/>
    <w:rsid w:val="007F6214"/>
    <w:rsid w:val="007F69ED"/>
    <w:rsid w:val="007F7901"/>
    <w:rsid w:val="00800C7F"/>
    <w:rsid w:val="00801F8F"/>
    <w:rsid w:val="00801FF0"/>
    <w:rsid w:val="0080440D"/>
    <w:rsid w:val="0080466C"/>
    <w:rsid w:val="00804C2D"/>
    <w:rsid w:val="00805089"/>
    <w:rsid w:val="0080728B"/>
    <w:rsid w:val="008073D0"/>
    <w:rsid w:val="00807B24"/>
    <w:rsid w:val="00807C6B"/>
    <w:rsid w:val="00810985"/>
    <w:rsid w:val="008121FA"/>
    <w:rsid w:val="00812BDC"/>
    <w:rsid w:val="00814087"/>
    <w:rsid w:val="0081468A"/>
    <w:rsid w:val="0081710B"/>
    <w:rsid w:val="00817680"/>
    <w:rsid w:val="00821899"/>
    <w:rsid w:val="008226B5"/>
    <w:rsid w:val="00822ED5"/>
    <w:rsid w:val="0082309B"/>
    <w:rsid w:val="00823629"/>
    <w:rsid w:val="008237C8"/>
    <w:rsid w:val="00824973"/>
    <w:rsid w:val="008251D3"/>
    <w:rsid w:val="008259DC"/>
    <w:rsid w:val="008273B6"/>
    <w:rsid w:val="0083095D"/>
    <w:rsid w:val="008321AC"/>
    <w:rsid w:val="00832577"/>
    <w:rsid w:val="008335FC"/>
    <w:rsid w:val="008340A9"/>
    <w:rsid w:val="00834D2C"/>
    <w:rsid w:val="008353DA"/>
    <w:rsid w:val="00835E15"/>
    <w:rsid w:val="00836714"/>
    <w:rsid w:val="0083682C"/>
    <w:rsid w:val="00840040"/>
    <w:rsid w:val="00840296"/>
    <w:rsid w:val="0084171A"/>
    <w:rsid w:val="00841894"/>
    <w:rsid w:val="00842E88"/>
    <w:rsid w:val="008447BD"/>
    <w:rsid w:val="00845E97"/>
    <w:rsid w:val="00846AB4"/>
    <w:rsid w:val="00850744"/>
    <w:rsid w:val="0085178B"/>
    <w:rsid w:val="008529A4"/>
    <w:rsid w:val="00854D45"/>
    <w:rsid w:val="008550F7"/>
    <w:rsid w:val="008551D4"/>
    <w:rsid w:val="0085586B"/>
    <w:rsid w:val="00855F91"/>
    <w:rsid w:val="00856878"/>
    <w:rsid w:val="00860969"/>
    <w:rsid w:val="00861B3E"/>
    <w:rsid w:val="008627EA"/>
    <w:rsid w:val="00862A11"/>
    <w:rsid w:val="00862B1D"/>
    <w:rsid w:val="0086343B"/>
    <w:rsid w:val="008636B1"/>
    <w:rsid w:val="0086393A"/>
    <w:rsid w:val="00864100"/>
    <w:rsid w:val="008642D1"/>
    <w:rsid w:val="008647CB"/>
    <w:rsid w:val="00866352"/>
    <w:rsid w:val="00866D14"/>
    <w:rsid w:val="00866D3B"/>
    <w:rsid w:val="00867B88"/>
    <w:rsid w:val="00870109"/>
    <w:rsid w:val="00873753"/>
    <w:rsid w:val="00873AA8"/>
    <w:rsid w:val="00873B59"/>
    <w:rsid w:val="00874574"/>
    <w:rsid w:val="008749B7"/>
    <w:rsid w:val="00874E5D"/>
    <w:rsid w:val="00876D81"/>
    <w:rsid w:val="0088018D"/>
    <w:rsid w:val="008842D7"/>
    <w:rsid w:val="00886BAD"/>
    <w:rsid w:val="00887B2B"/>
    <w:rsid w:val="008907F5"/>
    <w:rsid w:val="0089107E"/>
    <w:rsid w:val="00892858"/>
    <w:rsid w:val="00893F3C"/>
    <w:rsid w:val="00894D2E"/>
    <w:rsid w:val="00897215"/>
    <w:rsid w:val="008A1E26"/>
    <w:rsid w:val="008A246F"/>
    <w:rsid w:val="008A2ACC"/>
    <w:rsid w:val="008A3739"/>
    <w:rsid w:val="008A3985"/>
    <w:rsid w:val="008A430C"/>
    <w:rsid w:val="008A4CE2"/>
    <w:rsid w:val="008A7835"/>
    <w:rsid w:val="008A7D2A"/>
    <w:rsid w:val="008B0E60"/>
    <w:rsid w:val="008B1945"/>
    <w:rsid w:val="008B1C54"/>
    <w:rsid w:val="008B1ED9"/>
    <w:rsid w:val="008B203C"/>
    <w:rsid w:val="008B23B4"/>
    <w:rsid w:val="008B2450"/>
    <w:rsid w:val="008B48B5"/>
    <w:rsid w:val="008B4E6B"/>
    <w:rsid w:val="008B4F84"/>
    <w:rsid w:val="008B791B"/>
    <w:rsid w:val="008C1340"/>
    <w:rsid w:val="008C15CE"/>
    <w:rsid w:val="008C193D"/>
    <w:rsid w:val="008C2565"/>
    <w:rsid w:val="008C3508"/>
    <w:rsid w:val="008C368D"/>
    <w:rsid w:val="008C742E"/>
    <w:rsid w:val="008C771E"/>
    <w:rsid w:val="008C775E"/>
    <w:rsid w:val="008D0855"/>
    <w:rsid w:val="008D1D9A"/>
    <w:rsid w:val="008D216D"/>
    <w:rsid w:val="008D2C5C"/>
    <w:rsid w:val="008D35CE"/>
    <w:rsid w:val="008D4D9E"/>
    <w:rsid w:val="008D4E72"/>
    <w:rsid w:val="008D5990"/>
    <w:rsid w:val="008D5CDF"/>
    <w:rsid w:val="008E00D1"/>
    <w:rsid w:val="008E2724"/>
    <w:rsid w:val="008E3495"/>
    <w:rsid w:val="008E3677"/>
    <w:rsid w:val="008E435F"/>
    <w:rsid w:val="008E651D"/>
    <w:rsid w:val="008E667F"/>
    <w:rsid w:val="008E7F0C"/>
    <w:rsid w:val="008F2AD1"/>
    <w:rsid w:val="008F3435"/>
    <w:rsid w:val="008F679F"/>
    <w:rsid w:val="008F6C85"/>
    <w:rsid w:val="008F6D75"/>
    <w:rsid w:val="008F74EF"/>
    <w:rsid w:val="008F77E0"/>
    <w:rsid w:val="0090027D"/>
    <w:rsid w:val="009007DB"/>
    <w:rsid w:val="00900A91"/>
    <w:rsid w:val="00902BC0"/>
    <w:rsid w:val="00903CFF"/>
    <w:rsid w:val="00903D61"/>
    <w:rsid w:val="00905F84"/>
    <w:rsid w:val="00906707"/>
    <w:rsid w:val="00906ABA"/>
    <w:rsid w:val="009074B6"/>
    <w:rsid w:val="00910408"/>
    <w:rsid w:val="00910968"/>
    <w:rsid w:val="00910BF9"/>
    <w:rsid w:val="0091110F"/>
    <w:rsid w:val="00911A6C"/>
    <w:rsid w:val="00913071"/>
    <w:rsid w:val="0091360E"/>
    <w:rsid w:val="00914C82"/>
    <w:rsid w:val="00914F00"/>
    <w:rsid w:val="00916A01"/>
    <w:rsid w:val="009200AC"/>
    <w:rsid w:val="00920C07"/>
    <w:rsid w:val="009214B6"/>
    <w:rsid w:val="009226ED"/>
    <w:rsid w:val="0092368D"/>
    <w:rsid w:val="00923B2A"/>
    <w:rsid w:val="00924E3E"/>
    <w:rsid w:val="00927B8C"/>
    <w:rsid w:val="00930249"/>
    <w:rsid w:val="00930799"/>
    <w:rsid w:val="0093099C"/>
    <w:rsid w:val="0093232A"/>
    <w:rsid w:val="00932C95"/>
    <w:rsid w:val="00934136"/>
    <w:rsid w:val="00934274"/>
    <w:rsid w:val="009407C3"/>
    <w:rsid w:val="0094309F"/>
    <w:rsid w:val="00943759"/>
    <w:rsid w:val="0094400F"/>
    <w:rsid w:val="00945E83"/>
    <w:rsid w:val="00946998"/>
    <w:rsid w:val="00951A35"/>
    <w:rsid w:val="0095230C"/>
    <w:rsid w:val="00952A63"/>
    <w:rsid w:val="00952CC9"/>
    <w:rsid w:val="009540D8"/>
    <w:rsid w:val="009543F8"/>
    <w:rsid w:val="00954A42"/>
    <w:rsid w:val="00954F38"/>
    <w:rsid w:val="00954F4B"/>
    <w:rsid w:val="009551B4"/>
    <w:rsid w:val="00957AE0"/>
    <w:rsid w:val="00957BFA"/>
    <w:rsid w:val="00957C95"/>
    <w:rsid w:val="00957FCA"/>
    <w:rsid w:val="00960714"/>
    <w:rsid w:val="00960830"/>
    <w:rsid w:val="009615E5"/>
    <w:rsid w:val="00961C8E"/>
    <w:rsid w:val="009620F4"/>
    <w:rsid w:val="009661D6"/>
    <w:rsid w:val="00970D52"/>
    <w:rsid w:val="009719F7"/>
    <w:rsid w:val="00973677"/>
    <w:rsid w:val="00973AC7"/>
    <w:rsid w:val="009743B2"/>
    <w:rsid w:val="00975542"/>
    <w:rsid w:val="00975720"/>
    <w:rsid w:val="00976557"/>
    <w:rsid w:val="009809FC"/>
    <w:rsid w:val="009855EF"/>
    <w:rsid w:val="00985ECC"/>
    <w:rsid w:val="00990AE0"/>
    <w:rsid w:val="00991234"/>
    <w:rsid w:val="00991A6F"/>
    <w:rsid w:val="00991D34"/>
    <w:rsid w:val="00993BB8"/>
    <w:rsid w:val="00994208"/>
    <w:rsid w:val="009944BC"/>
    <w:rsid w:val="00994EF2"/>
    <w:rsid w:val="009958DF"/>
    <w:rsid w:val="00996A75"/>
    <w:rsid w:val="00996C31"/>
    <w:rsid w:val="009976DB"/>
    <w:rsid w:val="009A1376"/>
    <w:rsid w:val="009A2263"/>
    <w:rsid w:val="009A2A70"/>
    <w:rsid w:val="009A59E7"/>
    <w:rsid w:val="009A651E"/>
    <w:rsid w:val="009A6CC2"/>
    <w:rsid w:val="009A6F9C"/>
    <w:rsid w:val="009A73F7"/>
    <w:rsid w:val="009A7894"/>
    <w:rsid w:val="009A7E8E"/>
    <w:rsid w:val="009B0069"/>
    <w:rsid w:val="009B1033"/>
    <w:rsid w:val="009B26B5"/>
    <w:rsid w:val="009B3464"/>
    <w:rsid w:val="009B41B2"/>
    <w:rsid w:val="009B50B2"/>
    <w:rsid w:val="009B5A30"/>
    <w:rsid w:val="009B6462"/>
    <w:rsid w:val="009B6539"/>
    <w:rsid w:val="009B750D"/>
    <w:rsid w:val="009C0E50"/>
    <w:rsid w:val="009C1603"/>
    <w:rsid w:val="009C3A08"/>
    <w:rsid w:val="009C5C45"/>
    <w:rsid w:val="009C61FD"/>
    <w:rsid w:val="009C625E"/>
    <w:rsid w:val="009C6416"/>
    <w:rsid w:val="009C64B8"/>
    <w:rsid w:val="009C69D2"/>
    <w:rsid w:val="009C734F"/>
    <w:rsid w:val="009C7882"/>
    <w:rsid w:val="009D09DF"/>
    <w:rsid w:val="009D0C66"/>
    <w:rsid w:val="009D0E10"/>
    <w:rsid w:val="009D3770"/>
    <w:rsid w:val="009D3B85"/>
    <w:rsid w:val="009D4F9B"/>
    <w:rsid w:val="009D56B4"/>
    <w:rsid w:val="009D5B97"/>
    <w:rsid w:val="009D6D6D"/>
    <w:rsid w:val="009D7BC7"/>
    <w:rsid w:val="009E0AC1"/>
    <w:rsid w:val="009E3002"/>
    <w:rsid w:val="009E3A3C"/>
    <w:rsid w:val="009E41CF"/>
    <w:rsid w:val="009E4FC2"/>
    <w:rsid w:val="009E50B8"/>
    <w:rsid w:val="009F0C8A"/>
    <w:rsid w:val="009F0E0E"/>
    <w:rsid w:val="009F35A1"/>
    <w:rsid w:val="009F35B6"/>
    <w:rsid w:val="009F485D"/>
    <w:rsid w:val="009F4A1E"/>
    <w:rsid w:val="009F4DF8"/>
    <w:rsid w:val="009F5348"/>
    <w:rsid w:val="009F6C20"/>
    <w:rsid w:val="009F7429"/>
    <w:rsid w:val="009F7EBA"/>
    <w:rsid w:val="00A001F3"/>
    <w:rsid w:val="00A01B15"/>
    <w:rsid w:val="00A02CB7"/>
    <w:rsid w:val="00A03514"/>
    <w:rsid w:val="00A045E6"/>
    <w:rsid w:val="00A04796"/>
    <w:rsid w:val="00A04F43"/>
    <w:rsid w:val="00A0534B"/>
    <w:rsid w:val="00A100D3"/>
    <w:rsid w:val="00A11119"/>
    <w:rsid w:val="00A11350"/>
    <w:rsid w:val="00A14E2E"/>
    <w:rsid w:val="00A14FAC"/>
    <w:rsid w:val="00A1645A"/>
    <w:rsid w:val="00A166B7"/>
    <w:rsid w:val="00A167B6"/>
    <w:rsid w:val="00A17A41"/>
    <w:rsid w:val="00A23042"/>
    <w:rsid w:val="00A23351"/>
    <w:rsid w:val="00A2683D"/>
    <w:rsid w:val="00A27309"/>
    <w:rsid w:val="00A27D19"/>
    <w:rsid w:val="00A27E76"/>
    <w:rsid w:val="00A302FF"/>
    <w:rsid w:val="00A3149A"/>
    <w:rsid w:val="00A32693"/>
    <w:rsid w:val="00A339D3"/>
    <w:rsid w:val="00A362A1"/>
    <w:rsid w:val="00A375A2"/>
    <w:rsid w:val="00A4300F"/>
    <w:rsid w:val="00A44E98"/>
    <w:rsid w:val="00A45F4B"/>
    <w:rsid w:val="00A46B39"/>
    <w:rsid w:val="00A46DA6"/>
    <w:rsid w:val="00A47252"/>
    <w:rsid w:val="00A47C16"/>
    <w:rsid w:val="00A50240"/>
    <w:rsid w:val="00A5074C"/>
    <w:rsid w:val="00A508BF"/>
    <w:rsid w:val="00A51C41"/>
    <w:rsid w:val="00A52D26"/>
    <w:rsid w:val="00A54D1E"/>
    <w:rsid w:val="00A55840"/>
    <w:rsid w:val="00A57056"/>
    <w:rsid w:val="00A6227C"/>
    <w:rsid w:val="00A639A1"/>
    <w:rsid w:val="00A63A57"/>
    <w:rsid w:val="00A662E7"/>
    <w:rsid w:val="00A664D4"/>
    <w:rsid w:val="00A6740B"/>
    <w:rsid w:val="00A70435"/>
    <w:rsid w:val="00A705BC"/>
    <w:rsid w:val="00A705CF"/>
    <w:rsid w:val="00A708EC"/>
    <w:rsid w:val="00A70B0A"/>
    <w:rsid w:val="00A71F07"/>
    <w:rsid w:val="00A720F7"/>
    <w:rsid w:val="00A72BD4"/>
    <w:rsid w:val="00A72FBE"/>
    <w:rsid w:val="00A735F3"/>
    <w:rsid w:val="00A7427F"/>
    <w:rsid w:val="00A75EC1"/>
    <w:rsid w:val="00A7682C"/>
    <w:rsid w:val="00A8017B"/>
    <w:rsid w:val="00A80AF7"/>
    <w:rsid w:val="00A8107B"/>
    <w:rsid w:val="00A819F4"/>
    <w:rsid w:val="00A82A97"/>
    <w:rsid w:val="00A83E69"/>
    <w:rsid w:val="00A861CA"/>
    <w:rsid w:val="00A861F1"/>
    <w:rsid w:val="00A86EA3"/>
    <w:rsid w:val="00A86ED8"/>
    <w:rsid w:val="00A87113"/>
    <w:rsid w:val="00A901AE"/>
    <w:rsid w:val="00A91E05"/>
    <w:rsid w:val="00A9206F"/>
    <w:rsid w:val="00A9216C"/>
    <w:rsid w:val="00A9433B"/>
    <w:rsid w:val="00A9513C"/>
    <w:rsid w:val="00A95199"/>
    <w:rsid w:val="00A954BB"/>
    <w:rsid w:val="00A95C53"/>
    <w:rsid w:val="00A967D5"/>
    <w:rsid w:val="00A97C64"/>
    <w:rsid w:val="00A97E5D"/>
    <w:rsid w:val="00AA1BF9"/>
    <w:rsid w:val="00AA2A5A"/>
    <w:rsid w:val="00AA2B38"/>
    <w:rsid w:val="00AA5759"/>
    <w:rsid w:val="00AA6734"/>
    <w:rsid w:val="00AA7632"/>
    <w:rsid w:val="00AA7D8E"/>
    <w:rsid w:val="00AB09C6"/>
    <w:rsid w:val="00AB131E"/>
    <w:rsid w:val="00AB165D"/>
    <w:rsid w:val="00AB2436"/>
    <w:rsid w:val="00AB2AB8"/>
    <w:rsid w:val="00AB2FB7"/>
    <w:rsid w:val="00AB4165"/>
    <w:rsid w:val="00AB4CAA"/>
    <w:rsid w:val="00AB6ABF"/>
    <w:rsid w:val="00AB6E16"/>
    <w:rsid w:val="00AB750C"/>
    <w:rsid w:val="00AC0940"/>
    <w:rsid w:val="00AC19D0"/>
    <w:rsid w:val="00AC5408"/>
    <w:rsid w:val="00AC70B2"/>
    <w:rsid w:val="00AC70EA"/>
    <w:rsid w:val="00AD18ED"/>
    <w:rsid w:val="00AD2265"/>
    <w:rsid w:val="00AD267C"/>
    <w:rsid w:val="00AD4C1A"/>
    <w:rsid w:val="00AD550C"/>
    <w:rsid w:val="00AD66D8"/>
    <w:rsid w:val="00AE27C7"/>
    <w:rsid w:val="00AE2BFB"/>
    <w:rsid w:val="00AE3649"/>
    <w:rsid w:val="00AE42DD"/>
    <w:rsid w:val="00AE4997"/>
    <w:rsid w:val="00AE4D42"/>
    <w:rsid w:val="00AE5E92"/>
    <w:rsid w:val="00AE7654"/>
    <w:rsid w:val="00AE796C"/>
    <w:rsid w:val="00AE7C0E"/>
    <w:rsid w:val="00AF10EB"/>
    <w:rsid w:val="00AF1791"/>
    <w:rsid w:val="00AF229F"/>
    <w:rsid w:val="00AF386A"/>
    <w:rsid w:val="00AF6ABD"/>
    <w:rsid w:val="00AF71EE"/>
    <w:rsid w:val="00AF76EA"/>
    <w:rsid w:val="00AF7FE0"/>
    <w:rsid w:val="00B00274"/>
    <w:rsid w:val="00B030D8"/>
    <w:rsid w:val="00B0331D"/>
    <w:rsid w:val="00B03F23"/>
    <w:rsid w:val="00B04077"/>
    <w:rsid w:val="00B059BA"/>
    <w:rsid w:val="00B10525"/>
    <w:rsid w:val="00B10674"/>
    <w:rsid w:val="00B1076F"/>
    <w:rsid w:val="00B119EF"/>
    <w:rsid w:val="00B13098"/>
    <w:rsid w:val="00B139C9"/>
    <w:rsid w:val="00B13CC2"/>
    <w:rsid w:val="00B13FD9"/>
    <w:rsid w:val="00B14777"/>
    <w:rsid w:val="00B15CAA"/>
    <w:rsid w:val="00B16B8C"/>
    <w:rsid w:val="00B21B93"/>
    <w:rsid w:val="00B25D81"/>
    <w:rsid w:val="00B2692F"/>
    <w:rsid w:val="00B27B4C"/>
    <w:rsid w:val="00B3032F"/>
    <w:rsid w:val="00B30B60"/>
    <w:rsid w:val="00B30CCD"/>
    <w:rsid w:val="00B30CF4"/>
    <w:rsid w:val="00B31130"/>
    <w:rsid w:val="00B31D55"/>
    <w:rsid w:val="00B32F54"/>
    <w:rsid w:val="00B344F9"/>
    <w:rsid w:val="00B35559"/>
    <w:rsid w:val="00B35594"/>
    <w:rsid w:val="00B35895"/>
    <w:rsid w:val="00B3676B"/>
    <w:rsid w:val="00B36859"/>
    <w:rsid w:val="00B370F5"/>
    <w:rsid w:val="00B37C1C"/>
    <w:rsid w:val="00B41666"/>
    <w:rsid w:val="00B41724"/>
    <w:rsid w:val="00B417CB"/>
    <w:rsid w:val="00B4593D"/>
    <w:rsid w:val="00B45C5E"/>
    <w:rsid w:val="00B45D55"/>
    <w:rsid w:val="00B504BD"/>
    <w:rsid w:val="00B50751"/>
    <w:rsid w:val="00B52166"/>
    <w:rsid w:val="00B525FE"/>
    <w:rsid w:val="00B52723"/>
    <w:rsid w:val="00B5305F"/>
    <w:rsid w:val="00B53C4E"/>
    <w:rsid w:val="00B552D7"/>
    <w:rsid w:val="00B55574"/>
    <w:rsid w:val="00B55F69"/>
    <w:rsid w:val="00B561EF"/>
    <w:rsid w:val="00B56460"/>
    <w:rsid w:val="00B57422"/>
    <w:rsid w:val="00B6037A"/>
    <w:rsid w:val="00B61462"/>
    <w:rsid w:val="00B6210D"/>
    <w:rsid w:val="00B6298C"/>
    <w:rsid w:val="00B62FED"/>
    <w:rsid w:val="00B63512"/>
    <w:rsid w:val="00B637F2"/>
    <w:rsid w:val="00B63E6A"/>
    <w:rsid w:val="00B65457"/>
    <w:rsid w:val="00B67251"/>
    <w:rsid w:val="00B67721"/>
    <w:rsid w:val="00B67EC4"/>
    <w:rsid w:val="00B70688"/>
    <w:rsid w:val="00B7231D"/>
    <w:rsid w:val="00B72F48"/>
    <w:rsid w:val="00B72F96"/>
    <w:rsid w:val="00B73E20"/>
    <w:rsid w:val="00B75C89"/>
    <w:rsid w:val="00B75C90"/>
    <w:rsid w:val="00B772C4"/>
    <w:rsid w:val="00B779A4"/>
    <w:rsid w:val="00B77C51"/>
    <w:rsid w:val="00B81FD6"/>
    <w:rsid w:val="00B831F1"/>
    <w:rsid w:val="00B83231"/>
    <w:rsid w:val="00B83A81"/>
    <w:rsid w:val="00B842F5"/>
    <w:rsid w:val="00B847EE"/>
    <w:rsid w:val="00B87C63"/>
    <w:rsid w:val="00B87FD0"/>
    <w:rsid w:val="00B9066F"/>
    <w:rsid w:val="00B90B21"/>
    <w:rsid w:val="00B91CED"/>
    <w:rsid w:val="00B921F7"/>
    <w:rsid w:val="00B949AB"/>
    <w:rsid w:val="00B9537F"/>
    <w:rsid w:val="00B95906"/>
    <w:rsid w:val="00B97136"/>
    <w:rsid w:val="00B97216"/>
    <w:rsid w:val="00BA04EC"/>
    <w:rsid w:val="00BA0CC8"/>
    <w:rsid w:val="00BA2B50"/>
    <w:rsid w:val="00BA43DC"/>
    <w:rsid w:val="00BA6449"/>
    <w:rsid w:val="00BA66FD"/>
    <w:rsid w:val="00BA71AC"/>
    <w:rsid w:val="00BA7CE8"/>
    <w:rsid w:val="00BB039D"/>
    <w:rsid w:val="00BB1499"/>
    <w:rsid w:val="00BB1FB3"/>
    <w:rsid w:val="00BB28F7"/>
    <w:rsid w:val="00BB2F02"/>
    <w:rsid w:val="00BB30C3"/>
    <w:rsid w:val="00BB411A"/>
    <w:rsid w:val="00BB5437"/>
    <w:rsid w:val="00BB55E7"/>
    <w:rsid w:val="00BB5679"/>
    <w:rsid w:val="00BB6A1B"/>
    <w:rsid w:val="00BC0277"/>
    <w:rsid w:val="00BC1295"/>
    <w:rsid w:val="00BC215F"/>
    <w:rsid w:val="00BC3590"/>
    <w:rsid w:val="00BC3D79"/>
    <w:rsid w:val="00BC4F00"/>
    <w:rsid w:val="00BC7AF4"/>
    <w:rsid w:val="00BD2F51"/>
    <w:rsid w:val="00BD3E26"/>
    <w:rsid w:val="00BD41E1"/>
    <w:rsid w:val="00BD4909"/>
    <w:rsid w:val="00BD4AE0"/>
    <w:rsid w:val="00BD5644"/>
    <w:rsid w:val="00BD60D6"/>
    <w:rsid w:val="00BE09D0"/>
    <w:rsid w:val="00BE0A77"/>
    <w:rsid w:val="00BE1780"/>
    <w:rsid w:val="00BE1F9F"/>
    <w:rsid w:val="00BE1FAB"/>
    <w:rsid w:val="00BE22D0"/>
    <w:rsid w:val="00BE49CA"/>
    <w:rsid w:val="00BE515C"/>
    <w:rsid w:val="00BE5C33"/>
    <w:rsid w:val="00BE623C"/>
    <w:rsid w:val="00BE667A"/>
    <w:rsid w:val="00BE6C6F"/>
    <w:rsid w:val="00BE6F41"/>
    <w:rsid w:val="00BE6F89"/>
    <w:rsid w:val="00BF11B7"/>
    <w:rsid w:val="00BF1470"/>
    <w:rsid w:val="00BF17B7"/>
    <w:rsid w:val="00BF58D5"/>
    <w:rsid w:val="00BF6034"/>
    <w:rsid w:val="00BF7A3B"/>
    <w:rsid w:val="00BF7CE3"/>
    <w:rsid w:val="00C002D0"/>
    <w:rsid w:val="00C00344"/>
    <w:rsid w:val="00C0053C"/>
    <w:rsid w:val="00C006B0"/>
    <w:rsid w:val="00C00FC8"/>
    <w:rsid w:val="00C01F90"/>
    <w:rsid w:val="00C022D2"/>
    <w:rsid w:val="00C024D6"/>
    <w:rsid w:val="00C02B7F"/>
    <w:rsid w:val="00C03C7B"/>
    <w:rsid w:val="00C04CA4"/>
    <w:rsid w:val="00C051AB"/>
    <w:rsid w:val="00C05CCA"/>
    <w:rsid w:val="00C05EE6"/>
    <w:rsid w:val="00C07C23"/>
    <w:rsid w:val="00C07E41"/>
    <w:rsid w:val="00C112B5"/>
    <w:rsid w:val="00C11B23"/>
    <w:rsid w:val="00C11CEF"/>
    <w:rsid w:val="00C1222B"/>
    <w:rsid w:val="00C1405C"/>
    <w:rsid w:val="00C16660"/>
    <w:rsid w:val="00C1685B"/>
    <w:rsid w:val="00C16F75"/>
    <w:rsid w:val="00C1793C"/>
    <w:rsid w:val="00C21563"/>
    <w:rsid w:val="00C216F8"/>
    <w:rsid w:val="00C21BC2"/>
    <w:rsid w:val="00C24A60"/>
    <w:rsid w:val="00C24BD7"/>
    <w:rsid w:val="00C24F78"/>
    <w:rsid w:val="00C30403"/>
    <w:rsid w:val="00C309CF"/>
    <w:rsid w:val="00C31819"/>
    <w:rsid w:val="00C31D37"/>
    <w:rsid w:val="00C33AE4"/>
    <w:rsid w:val="00C346F7"/>
    <w:rsid w:val="00C35749"/>
    <w:rsid w:val="00C36B41"/>
    <w:rsid w:val="00C40937"/>
    <w:rsid w:val="00C43B5B"/>
    <w:rsid w:val="00C450DE"/>
    <w:rsid w:val="00C46759"/>
    <w:rsid w:val="00C46C13"/>
    <w:rsid w:val="00C46C68"/>
    <w:rsid w:val="00C47F3D"/>
    <w:rsid w:val="00C51D5A"/>
    <w:rsid w:val="00C523CB"/>
    <w:rsid w:val="00C552E5"/>
    <w:rsid w:val="00C56228"/>
    <w:rsid w:val="00C56788"/>
    <w:rsid w:val="00C57386"/>
    <w:rsid w:val="00C5788C"/>
    <w:rsid w:val="00C60E25"/>
    <w:rsid w:val="00C62B96"/>
    <w:rsid w:val="00C63464"/>
    <w:rsid w:val="00C63581"/>
    <w:rsid w:val="00C63940"/>
    <w:rsid w:val="00C65AF3"/>
    <w:rsid w:val="00C70333"/>
    <w:rsid w:val="00C738BA"/>
    <w:rsid w:val="00C73B9D"/>
    <w:rsid w:val="00C73C3B"/>
    <w:rsid w:val="00C754B8"/>
    <w:rsid w:val="00C75566"/>
    <w:rsid w:val="00C7642E"/>
    <w:rsid w:val="00C81C90"/>
    <w:rsid w:val="00C82DAB"/>
    <w:rsid w:val="00C83022"/>
    <w:rsid w:val="00C83D89"/>
    <w:rsid w:val="00C844AA"/>
    <w:rsid w:val="00C848BC"/>
    <w:rsid w:val="00C85BA0"/>
    <w:rsid w:val="00C85BCB"/>
    <w:rsid w:val="00C8604C"/>
    <w:rsid w:val="00C87B39"/>
    <w:rsid w:val="00C87C2E"/>
    <w:rsid w:val="00C91271"/>
    <w:rsid w:val="00C94407"/>
    <w:rsid w:val="00C9731A"/>
    <w:rsid w:val="00C973EE"/>
    <w:rsid w:val="00CA295F"/>
    <w:rsid w:val="00CA2DAE"/>
    <w:rsid w:val="00CA3BE0"/>
    <w:rsid w:val="00CA5E22"/>
    <w:rsid w:val="00CB18ED"/>
    <w:rsid w:val="00CB381B"/>
    <w:rsid w:val="00CB44DA"/>
    <w:rsid w:val="00CB5902"/>
    <w:rsid w:val="00CC158C"/>
    <w:rsid w:val="00CC2249"/>
    <w:rsid w:val="00CC2D0D"/>
    <w:rsid w:val="00CC3C08"/>
    <w:rsid w:val="00CC5936"/>
    <w:rsid w:val="00CC62A9"/>
    <w:rsid w:val="00CC6978"/>
    <w:rsid w:val="00CC6A75"/>
    <w:rsid w:val="00CC7672"/>
    <w:rsid w:val="00CC7F93"/>
    <w:rsid w:val="00CD0A21"/>
    <w:rsid w:val="00CD1BD0"/>
    <w:rsid w:val="00CD1C23"/>
    <w:rsid w:val="00CD227A"/>
    <w:rsid w:val="00CD2463"/>
    <w:rsid w:val="00CD3F24"/>
    <w:rsid w:val="00CD40A6"/>
    <w:rsid w:val="00CD5A24"/>
    <w:rsid w:val="00CD691B"/>
    <w:rsid w:val="00CD696E"/>
    <w:rsid w:val="00CD7162"/>
    <w:rsid w:val="00CE02FD"/>
    <w:rsid w:val="00CE0BFD"/>
    <w:rsid w:val="00CE3C84"/>
    <w:rsid w:val="00CE530E"/>
    <w:rsid w:val="00CE6E41"/>
    <w:rsid w:val="00CF0A23"/>
    <w:rsid w:val="00CF0BFF"/>
    <w:rsid w:val="00CF145C"/>
    <w:rsid w:val="00CF2092"/>
    <w:rsid w:val="00CF22D0"/>
    <w:rsid w:val="00CF3608"/>
    <w:rsid w:val="00CF37C9"/>
    <w:rsid w:val="00CF3FFF"/>
    <w:rsid w:val="00CF566D"/>
    <w:rsid w:val="00CF5E94"/>
    <w:rsid w:val="00CF6BA4"/>
    <w:rsid w:val="00CF6F25"/>
    <w:rsid w:val="00D010DF"/>
    <w:rsid w:val="00D01A25"/>
    <w:rsid w:val="00D01F8F"/>
    <w:rsid w:val="00D0280B"/>
    <w:rsid w:val="00D02A2A"/>
    <w:rsid w:val="00D04102"/>
    <w:rsid w:val="00D04B53"/>
    <w:rsid w:val="00D04C19"/>
    <w:rsid w:val="00D05BCA"/>
    <w:rsid w:val="00D06452"/>
    <w:rsid w:val="00D0750B"/>
    <w:rsid w:val="00D07737"/>
    <w:rsid w:val="00D07CFA"/>
    <w:rsid w:val="00D10048"/>
    <w:rsid w:val="00D1117A"/>
    <w:rsid w:val="00D129B1"/>
    <w:rsid w:val="00D12E9D"/>
    <w:rsid w:val="00D1336E"/>
    <w:rsid w:val="00D15139"/>
    <w:rsid w:val="00D15335"/>
    <w:rsid w:val="00D1577E"/>
    <w:rsid w:val="00D157AA"/>
    <w:rsid w:val="00D16088"/>
    <w:rsid w:val="00D174DC"/>
    <w:rsid w:val="00D179BA"/>
    <w:rsid w:val="00D17CFD"/>
    <w:rsid w:val="00D17E1B"/>
    <w:rsid w:val="00D20E30"/>
    <w:rsid w:val="00D20E7C"/>
    <w:rsid w:val="00D2184E"/>
    <w:rsid w:val="00D26959"/>
    <w:rsid w:val="00D2705E"/>
    <w:rsid w:val="00D275B9"/>
    <w:rsid w:val="00D30006"/>
    <w:rsid w:val="00D302C2"/>
    <w:rsid w:val="00D3116E"/>
    <w:rsid w:val="00D3116F"/>
    <w:rsid w:val="00D31361"/>
    <w:rsid w:val="00D353A1"/>
    <w:rsid w:val="00D3688F"/>
    <w:rsid w:val="00D37FC7"/>
    <w:rsid w:val="00D415DB"/>
    <w:rsid w:val="00D42754"/>
    <w:rsid w:val="00D43017"/>
    <w:rsid w:val="00D432D9"/>
    <w:rsid w:val="00D467F5"/>
    <w:rsid w:val="00D46C81"/>
    <w:rsid w:val="00D47053"/>
    <w:rsid w:val="00D47335"/>
    <w:rsid w:val="00D475E8"/>
    <w:rsid w:val="00D476C8"/>
    <w:rsid w:val="00D479E6"/>
    <w:rsid w:val="00D47D26"/>
    <w:rsid w:val="00D5166C"/>
    <w:rsid w:val="00D54FF2"/>
    <w:rsid w:val="00D55769"/>
    <w:rsid w:val="00D60E86"/>
    <w:rsid w:val="00D625B5"/>
    <w:rsid w:val="00D625DA"/>
    <w:rsid w:val="00D627E2"/>
    <w:rsid w:val="00D62AE0"/>
    <w:rsid w:val="00D62DE6"/>
    <w:rsid w:val="00D64609"/>
    <w:rsid w:val="00D66B45"/>
    <w:rsid w:val="00D67DE1"/>
    <w:rsid w:val="00D7025F"/>
    <w:rsid w:val="00D714C6"/>
    <w:rsid w:val="00D71FB3"/>
    <w:rsid w:val="00D72BC1"/>
    <w:rsid w:val="00D731E3"/>
    <w:rsid w:val="00D73607"/>
    <w:rsid w:val="00D73946"/>
    <w:rsid w:val="00D755D8"/>
    <w:rsid w:val="00D756BE"/>
    <w:rsid w:val="00D779B9"/>
    <w:rsid w:val="00D81266"/>
    <w:rsid w:val="00D81354"/>
    <w:rsid w:val="00D82750"/>
    <w:rsid w:val="00D83A96"/>
    <w:rsid w:val="00D84C4A"/>
    <w:rsid w:val="00D86D26"/>
    <w:rsid w:val="00D87C5D"/>
    <w:rsid w:val="00D9028A"/>
    <w:rsid w:val="00D9093C"/>
    <w:rsid w:val="00D909B9"/>
    <w:rsid w:val="00D90DDC"/>
    <w:rsid w:val="00D92156"/>
    <w:rsid w:val="00D92962"/>
    <w:rsid w:val="00D93147"/>
    <w:rsid w:val="00D933B5"/>
    <w:rsid w:val="00D93772"/>
    <w:rsid w:val="00D93783"/>
    <w:rsid w:val="00D95A04"/>
    <w:rsid w:val="00DA00F8"/>
    <w:rsid w:val="00DA25A9"/>
    <w:rsid w:val="00DA2A42"/>
    <w:rsid w:val="00DA3B12"/>
    <w:rsid w:val="00DA5A96"/>
    <w:rsid w:val="00DA5E41"/>
    <w:rsid w:val="00DA5E8E"/>
    <w:rsid w:val="00DA6C34"/>
    <w:rsid w:val="00DB0D19"/>
    <w:rsid w:val="00DB1262"/>
    <w:rsid w:val="00DB2870"/>
    <w:rsid w:val="00DB2E5D"/>
    <w:rsid w:val="00DB308A"/>
    <w:rsid w:val="00DB4151"/>
    <w:rsid w:val="00DB4923"/>
    <w:rsid w:val="00DB4965"/>
    <w:rsid w:val="00DB4A30"/>
    <w:rsid w:val="00DB4C74"/>
    <w:rsid w:val="00DB4F0D"/>
    <w:rsid w:val="00DB5389"/>
    <w:rsid w:val="00DB5895"/>
    <w:rsid w:val="00DB6481"/>
    <w:rsid w:val="00DB7A6E"/>
    <w:rsid w:val="00DB7E5E"/>
    <w:rsid w:val="00DC091C"/>
    <w:rsid w:val="00DC0A07"/>
    <w:rsid w:val="00DC1028"/>
    <w:rsid w:val="00DC170C"/>
    <w:rsid w:val="00DC23D9"/>
    <w:rsid w:val="00DC2555"/>
    <w:rsid w:val="00DC539B"/>
    <w:rsid w:val="00DC5B9C"/>
    <w:rsid w:val="00DC5D9E"/>
    <w:rsid w:val="00DC67C4"/>
    <w:rsid w:val="00DC706B"/>
    <w:rsid w:val="00DC7817"/>
    <w:rsid w:val="00DC78BF"/>
    <w:rsid w:val="00DD04A4"/>
    <w:rsid w:val="00DD0A8E"/>
    <w:rsid w:val="00DD23C7"/>
    <w:rsid w:val="00DD2DCC"/>
    <w:rsid w:val="00DD2F48"/>
    <w:rsid w:val="00DD3A8B"/>
    <w:rsid w:val="00DD55CA"/>
    <w:rsid w:val="00DD56D6"/>
    <w:rsid w:val="00DD6419"/>
    <w:rsid w:val="00DE0D93"/>
    <w:rsid w:val="00DE19DC"/>
    <w:rsid w:val="00DE1F1E"/>
    <w:rsid w:val="00DE7757"/>
    <w:rsid w:val="00DF1CC4"/>
    <w:rsid w:val="00DF1D49"/>
    <w:rsid w:val="00DF37DB"/>
    <w:rsid w:val="00DF5C76"/>
    <w:rsid w:val="00DF7F0A"/>
    <w:rsid w:val="00E000D1"/>
    <w:rsid w:val="00E00C33"/>
    <w:rsid w:val="00E012BB"/>
    <w:rsid w:val="00E01D7D"/>
    <w:rsid w:val="00E01F2A"/>
    <w:rsid w:val="00E02E78"/>
    <w:rsid w:val="00E03B3F"/>
    <w:rsid w:val="00E03E0B"/>
    <w:rsid w:val="00E04205"/>
    <w:rsid w:val="00E060E4"/>
    <w:rsid w:val="00E065FE"/>
    <w:rsid w:val="00E06EE0"/>
    <w:rsid w:val="00E103A8"/>
    <w:rsid w:val="00E11314"/>
    <w:rsid w:val="00E14BA1"/>
    <w:rsid w:val="00E15468"/>
    <w:rsid w:val="00E16D43"/>
    <w:rsid w:val="00E209F6"/>
    <w:rsid w:val="00E216F5"/>
    <w:rsid w:val="00E22032"/>
    <w:rsid w:val="00E22C60"/>
    <w:rsid w:val="00E231DF"/>
    <w:rsid w:val="00E256E9"/>
    <w:rsid w:val="00E25858"/>
    <w:rsid w:val="00E25E60"/>
    <w:rsid w:val="00E27EF5"/>
    <w:rsid w:val="00E330FD"/>
    <w:rsid w:val="00E335B9"/>
    <w:rsid w:val="00E33D0A"/>
    <w:rsid w:val="00E33D8A"/>
    <w:rsid w:val="00E34B35"/>
    <w:rsid w:val="00E35449"/>
    <w:rsid w:val="00E35D1E"/>
    <w:rsid w:val="00E35DE0"/>
    <w:rsid w:val="00E35F69"/>
    <w:rsid w:val="00E41A07"/>
    <w:rsid w:val="00E41C90"/>
    <w:rsid w:val="00E42ED2"/>
    <w:rsid w:val="00E43B8F"/>
    <w:rsid w:val="00E43CF7"/>
    <w:rsid w:val="00E441CE"/>
    <w:rsid w:val="00E4736D"/>
    <w:rsid w:val="00E475A5"/>
    <w:rsid w:val="00E47C1A"/>
    <w:rsid w:val="00E47EBD"/>
    <w:rsid w:val="00E538B4"/>
    <w:rsid w:val="00E55989"/>
    <w:rsid w:val="00E5598A"/>
    <w:rsid w:val="00E57349"/>
    <w:rsid w:val="00E574C5"/>
    <w:rsid w:val="00E57FB0"/>
    <w:rsid w:val="00E60F67"/>
    <w:rsid w:val="00E61474"/>
    <w:rsid w:val="00E62268"/>
    <w:rsid w:val="00E63E68"/>
    <w:rsid w:val="00E64698"/>
    <w:rsid w:val="00E64DFF"/>
    <w:rsid w:val="00E66C91"/>
    <w:rsid w:val="00E66E3A"/>
    <w:rsid w:val="00E6716E"/>
    <w:rsid w:val="00E67ACC"/>
    <w:rsid w:val="00E67D43"/>
    <w:rsid w:val="00E70055"/>
    <w:rsid w:val="00E7025E"/>
    <w:rsid w:val="00E71A40"/>
    <w:rsid w:val="00E73B49"/>
    <w:rsid w:val="00E748E4"/>
    <w:rsid w:val="00E75062"/>
    <w:rsid w:val="00E750B4"/>
    <w:rsid w:val="00E75565"/>
    <w:rsid w:val="00E75B42"/>
    <w:rsid w:val="00E774F6"/>
    <w:rsid w:val="00E77ABB"/>
    <w:rsid w:val="00E82114"/>
    <w:rsid w:val="00E8343D"/>
    <w:rsid w:val="00E839C9"/>
    <w:rsid w:val="00E842C1"/>
    <w:rsid w:val="00E84A43"/>
    <w:rsid w:val="00E854EA"/>
    <w:rsid w:val="00E864DF"/>
    <w:rsid w:val="00E87F0B"/>
    <w:rsid w:val="00E91041"/>
    <w:rsid w:val="00E91144"/>
    <w:rsid w:val="00E91D6F"/>
    <w:rsid w:val="00E9229C"/>
    <w:rsid w:val="00E92668"/>
    <w:rsid w:val="00E93399"/>
    <w:rsid w:val="00E9517A"/>
    <w:rsid w:val="00E95549"/>
    <w:rsid w:val="00E9670F"/>
    <w:rsid w:val="00E9677F"/>
    <w:rsid w:val="00E9714F"/>
    <w:rsid w:val="00EA0A2A"/>
    <w:rsid w:val="00EA25BC"/>
    <w:rsid w:val="00EA5E06"/>
    <w:rsid w:val="00EB0DC0"/>
    <w:rsid w:val="00EB0F6A"/>
    <w:rsid w:val="00EB1904"/>
    <w:rsid w:val="00EB268F"/>
    <w:rsid w:val="00EB28DB"/>
    <w:rsid w:val="00EB3072"/>
    <w:rsid w:val="00EB6A84"/>
    <w:rsid w:val="00EB7718"/>
    <w:rsid w:val="00EB782B"/>
    <w:rsid w:val="00EC4927"/>
    <w:rsid w:val="00EC5131"/>
    <w:rsid w:val="00EC6430"/>
    <w:rsid w:val="00EC701B"/>
    <w:rsid w:val="00ED01CD"/>
    <w:rsid w:val="00ED088D"/>
    <w:rsid w:val="00ED1720"/>
    <w:rsid w:val="00ED1AEA"/>
    <w:rsid w:val="00ED22B7"/>
    <w:rsid w:val="00ED30EA"/>
    <w:rsid w:val="00ED4D86"/>
    <w:rsid w:val="00ED6244"/>
    <w:rsid w:val="00ED7017"/>
    <w:rsid w:val="00ED7128"/>
    <w:rsid w:val="00EE08C7"/>
    <w:rsid w:val="00EE18EB"/>
    <w:rsid w:val="00EE1903"/>
    <w:rsid w:val="00EE1FC1"/>
    <w:rsid w:val="00EE4236"/>
    <w:rsid w:val="00EE54B5"/>
    <w:rsid w:val="00EF061B"/>
    <w:rsid w:val="00EF1F0C"/>
    <w:rsid w:val="00EF2512"/>
    <w:rsid w:val="00EF2EF6"/>
    <w:rsid w:val="00F000D8"/>
    <w:rsid w:val="00F0072C"/>
    <w:rsid w:val="00F00AB9"/>
    <w:rsid w:val="00F00D2D"/>
    <w:rsid w:val="00F01539"/>
    <w:rsid w:val="00F03398"/>
    <w:rsid w:val="00F03493"/>
    <w:rsid w:val="00F03748"/>
    <w:rsid w:val="00F04534"/>
    <w:rsid w:val="00F04E2E"/>
    <w:rsid w:val="00F04FFB"/>
    <w:rsid w:val="00F05935"/>
    <w:rsid w:val="00F05BD3"/>
    <w:rsid w:val="00F05E5C"/>
    <w:rsid w:val="00F06457"/>
    <w:rsid w:val="00F0684B"/>
    <w:rsid w:val="00F073E9"/>
    <w:rsid w:val="00F108FB"/>
    <w:rsid w:val="00F118DA"/>
    <w:rsid w:val="00F12705"/>
    <w:rsid w:val="00F12A48"/>
    <w:rsid w:val="00F12EB1"/>
    <w:rsid w:val="00F1320E"/>
    <w:rsid w:val="00F13D6B"/>
    <w:rsid w:val="00F146E3"/>
    <w:rsid w:val="00F16F26"/>
    <w:rsid w:val="00F17ABD"/>
    <w:rsid w:val="00F2139E"/>
    <w:rsid w:val="00F22638"/>
    <w:rsid w:val="00F23D1A"/>
    <w:rsid w:val="00F245C4"/>
    <w:rsid w:val="00F24CC3"/>
    <w:rsid w:val="00F259E8"/>
    <w:rsid w:val="00F26C86"/>
    <w:rsid w:val="00F301EF"/>
    <w:rsid w:val="00F30790"/>
    <w:rsid w:val="00F30E72"/>
    <w:rsid w:val="00F3134E"/>
    <w:rsid w:val="00F3140A"/>
    <w:rsid w:val="00F32213"/>
    <w:rsid w:val="00F3316D"/>
    <w:rsid w:val="00F334C8"/>
    <w:rsid w:val="00F347D6"/>
    <w:rsid w:val="00F34B3D"/>
    <w:rsid w:val="00F34F2D"/>
    <w:rsid w:val="00F35736"/>
    <w:rsid w:val="00F35958"/>
    <w:rsid w:val="00F362C7"/>
    <w:rsid w:val="00F36F01"/>
    <w:rsid w:val="00F36F8E"/>
    <w:rsid w:val="00F36F94"/>
    <w:rsid w:val="00F379F9"/>
    <w:rsid w:val="00F414F0"/>
    <w:rsid w:val="00F41A26"/>
    <w:rsid w:val="00F41F64"/>
    <w:rsid w:val="00F42A41"/>
    <w:rsid w:val="00F4358C"/>
    <w:rsid w:val="00F43FE0"/>
    <w:rsid w:val="00F44923"/>
    <w:rsid w:val="00F44B8A"/>
    <w:rsid w:val="00F44D83"/>
    <w:rsid w:val="00F46F1D"/>
    <w:rsid w:val="00F474F8"/>
    <w:rsid w:val="00F5106D"/>
    <w:rsid w:val="00F51D10"/>
    <w:rsid w:val="00F521ED"/>
    <w:rsid w:val="00F522EC"/>
    <w:rsid w:val="00F52EB1"/>
    <w:rsid w:val="00F53DFF"/>
    <w:rsid w:val="00F5582F"/>
    <w:rsid w:val="00F55AAB"/>
    <w:rsid w:val="00F55C1D"/>
    <w:rsid w:val="00F566C3"/>
    <w:rsid w:val="00F56BF8"/>
    <w:rsid w:val="00F57DA9"/>
    <w:rsid w:val="00F61013"/>
    <w:rsid w:val="00F61FDA"/>
    <w:rsid w:val="00F63211"/>
    <w:rsid w:val="00F65238"/>
    <w:rsid w:val="00F6573F"/>
    <w:rsid w:val="00F66AB3"/>
    <w:rsid w:val="00F66FC2"/>
    <w:rsid w:val="00F7016B"/>
    <w:rsid w:val="00F71647"/>
    <w:rsid w:val="00F73417"/>
    <w:rsid w:val="00F736BA"/>
    <w:rsid w:val="00F75178"/>
    <w:rsid w:val="00F75F05"/>
    <w:rsid w:val="00F7767B"/>
    <w:rsid w:val="00F77CE5"/>
    <w:rsid w:val="00F8083B"/>
    <w:rsid w:val="00F80F03"/>
    <w:rsid w:val="00F81A9A"/>
    <w:rsid w:val="00F81CB7"/>
    <w:rsid w:val="00F82473"/>
    <w:rsid w:val="00F825CF"/>
    <w:rsid w:val="00F84830"/>
    <w:rsid w:val="00F84AD9"/>
    <w:rsid w:val="00F85500"/>
    <w:rsid w:val="00F85A73"/>
    <w:rsid w:val="00F865D0"/>
    <w:rsid w:val="00F869B9"/>
    <w:rsid w:val="00F86B67"/>
    <w:rsid w:val="00F90FA0"/>
    <w:rsid w:val="00F921F1"/>
    <w:rsid w:val="00F927A7"/>
    <w:rsid w:val="00F93547"/>
    <w:rsid w:val="00F93FA0"/>
    <w:rsid w:val="00F95B30"/>
    <w:rsid w:val="00F95C36"/>
    <w:rsid w:val="00F9602F"/>
    <w:rsid w:val="00F965E4"/>
    <w:rsid w:val="00FA063B"/>
    <w:rsid w:val="00FA1723"/>
    <w:rsid w:val="00FA299F"/>
    <w:rsid w:val="00FA5F98"/>
    <w:rsid w:val="00FA74A6"/>
    <w:rsid w:val="00FB1CC6"/>
    <w:rsid w:val="00FB2421"/>
    <w:rsid w:val="00FB28DA"/>
    <w:rsid w:val="00FB3368"/>
    <w:rsid w:val="00FB3D80"/>
    <w:rsid w:val="00FB4E82"/>
    <w:rsid w:val="00FB4F6F"/>
    <w:rsid w:val="00FB5AFD"/>
    <w:rsid w:val="00FB5EF8"/>
    <w:rsid w:val="00FB78F7"/>
    <w:rsid w:val="00FC00D6"/>
    <w:rsid w:val="00FC0A2B"/>
    <w:rsid w:val="00FC14A1"/>
    <w:rsid w:val="00FC192B"/>
    <w:rsid w:val="00FC1C38"/>
    <w:rsid w:val="00FC341C"/>
    <w:rsid w:val="00FC3B60"/>
    <w:rsid w:val="00FC3E30"/>
    <w:rsid w:val="00FC3EA8"/>
    <w:rsid w:val="00FC3F04"/>
    <w:rsid w:val="00FC46AA"/>
    <w:rsid w:val="00FC4F3F"/>
    <w:rsid w:val="00FC511D"/>
    <w:rsid w:val="00FC52AB"/>
    <w:rsid w:val="00FD1A58"/>
    <w:rsid w:val="00FD28E9"/>
    <w:rsid w:val="00FD3332"/>
    <w:rsid w:val="00FD45D2"/>
    <w:rsid w:val="00FD5336"/>
    <w:rsid w:val="00FD6460"/>
    <w:rsid w:val="00FE057F"/>
    <w:rsid w:val="00FE0BA8"/>
    <w:rsid w:val="00FE1737"/>
    <w:rsid w:val="00FE2347"/>
    <w:rsid w:val="00FE2F48"/>
    <w:rsid w:val="00FE2FDF"/>
    <w:rsid w:val="00FE4A0F"/>
    <w:rsid w:val="00FE558B"/>
    <w:rsid w:val="00FE615E"/>
    <w:rsid w:val="00FE69DF"/>
    <w:rsid w:val="00FE7A99"/>
    <w:rsid w:val="00FE7D46"/>
    <w:rsid w:val="00FF0D74"/>
    <w:rsid w:val="00FF0EF6"/>
    <w:rsid w:val="00FF1E1B"/>
    <w:rsid w:val="00FF27D9"/>
    <w:rsid w:val="00FF6BF4"/>
    <w:rsid w:val="00FF7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15073"/>
  <w15:docId w15:val="{34633715-DFCE-40D3-8FC8-29E1C06D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67C"/>
    <w:pPr>
      <w:ind w:left="720"/>
    </w:pPr>
  </w:style>
  <w:style w:type="character" w:styleId="Hyperlink">
    <w:name w:val="Hyperlink"/>
    <w:basedOn w:val="DefaultParagraphFont"/>
    <w:rsid w:val="00436943"/>
    <w:rPr>
      <w:color w:val="0000FF"/>
      <w:u w:val="single"/>
    </w:rPr>
  </w:style>
  <w:style w:type="character" w:customStyle="1" w:styleId="EmailStyle17">
    <w:name w:val="EmailStyle17"/>
    <w:basedOn w:val="DefaultParagraphFont"/>
    <w:semiHidden/>
    <w:rsid w:val="00436943"/>
    <w:rPr>
      <w:rFonts w:ascii="Arial" w:hAnsi="Arial" w:cs="Arial"/>
      <w:color w:val="auto"/>
      <w:sz w:val="20"/>
      <w:szCs w:val="20"/>
    </w:rPr>
  </w:style>
  <w:style w:type="paragraph" w:styleId="E-mailSignature">
    <w:name w:val="E-mail Signature"/>
    <w:basedOn w:val="Normal"/>
    <w:link w:val="E-mailSignatureChar"/>
    <w:rsid w:val="00436943"/>
    <w:rPr>
      <w:lang w:val="en-US" w:eastAsia="en-US"/>
    </w:rPr>
  </w:style>
  <w:style w:type="character" w:customStyle="1" w:styleId="E-mailSignatureChar">
    <w:name w:val="E-mail Signature Char"/>
    <w:basedOn w:val="DefaultParagraphFont"/>
    <w:link w:val="E-mailSignature"/>
    <w:rsid w:val="00436943"/>
    <w:rPr>
      <w:sz w:val="24"/>
      <w:szCs w:val="24"/>
      <w:lang w:val="en-US" w:eastAsia="en-US"/>
    </w:rPr>
  </w:style>
  <w:style w:type="paragraph" w:styleId="Header">
    <w:name w:val="header"/>
    <w:basedOn w:val="Normal"/>
    <w:link w:val="HeaderChar"/>
    <w:uiPriority w:val="99"/>
    <w:unhideWhenUsed/>
    <w:rsid w:val="00362A62"/>
    <w:pPr>
      <w:tabs>
        <w:tab w:val="center" w:pos="4513"/>
        <w:tab w:val="right" w:pos="9026"/>
      </w:tabs>
    </w:pPr>
  </w:style>
  <w:style w:type="character" w:customStyle="1" w:styleId="HeaderChar">
    <w:name w:val="Header Char"/>
    <w:basedOn w:val="DefaultParagraphFont"/>
    <w:link w:val="Header"/>
    <w:uiPriority w:val="99"/>
    <w:rsid w:val="00362A62"/>
    <w:rPr>
      <w:sz w:val="24"/>
      <w:szCs w:val="24"/>
    </w:rPr>
  </w:style>
  <w:style w:type="paragraph" w:styleId="Footer">
    <w:name w:val="footer"/>
    <w:basedOn w:val="Normal"/>
    <w:link w:val="FooterChar"/>
    <w:uiPriority w:val="99"/>
    <w:unhideWhenUsed/>
    <w:rsid w:val="00362A62"/>
    <w:pPr>
      <w:tabs>
        <w:tab w:val="center" w:pos="4513"/>
        <w:tab w:val="right" w:pos="9026"/>
      </w:tabs>
    </w:pPr>
  </w:style>
  <w:style w:type="character" w:customStyle="1" w:styleId="FooterChar">
    <w:name w:val="Footer Char"/>
    <w:basedOn w:val="DefaultParagraphFont"/>
    <w:link w:val="Footer"/>
    <w:uiPriority w:val="99"/>
    <w:rsid w:val="00362A62"/>
    <w:rPr>
      <w:sz w:val="24"/>
      <w:szCs w:val="24"/>
    </w:rPr>
  </w:style>
  <w:style w:type="paragraph" w:styleId="BalloonText">
    <w:name w:val="Balloon Text"/>
    <w:basedOn w:val="Normal"/>
    <w:link w:val="BalloonTextChar"/>
    <w:uiPriority w:val="99"/>
    <w:semiHidden/>
    <w:unhideWhenUsed/>
    <w:rsid w:val="0094309F"/>
    <w:rPr>
      <w:rFonts w:ascii="Tahoma" w:hAnsi="Tahoma" w:cs="Tahoma"/>
      <w:sz w:val="16"/>
      <w:szCs w:val="16"/>
    </w:rPr>
  </w:style>
  <w:style w:type="character" w:customStyle="1" w:styleId="BalloonTextChar">
    <w:name w:val="Balloon Text Char"/>
    <w:basedOn w:val="DefaultParagraphFont"/>
    <w:link w:val="BalloonText"/>
    <w:uiPriority w:val="99"/>
    <w:semiHidden/>
    <w:rsid w:val="0094309F"/>
    <w:rPr>
      <w:rFonts w:ascii="Tahoma" w:hAnsi="Tahoma" w:cs="Tahoma"/>
      <w:sz w:val="16"/>
      <w:szCs w:val="16"/>
    </w:rPr>
  </w:style>
  <w:style w:type="character" w:styleId="UnresolvedMention">
    <w:name w:val="Unresolved Mention"/>
    <w:basedOn w:val="DefaultParagraphFont"/>
    <w:uiPriority w:val="99"/>
    <w:semiHidden/>
    <w:unhideWhenUsed/>
    <w:rsid w:val="00CE5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745216">
      <w:bodyDiv w:val="1"/>
      <w:marLeft w:val="238"/>
      <w:marRight w:val="238"/>
      <w:marTop w:val="48"/>
      <w:marBottom w:val="48"/>
      <w:divBdr>
        <w:top w:val="none" w:sz="0" w:space="0" w:color="auto"/>
        <w:left w:val="none" w:sz="0" w:space="0" w:color="auto"/>
        <w:bottom w:val="none" w:sz="0" w:space="0" w:color="auto"/>
        <w:right w:val="none" w:sz="0" w:space="0" w:color="auto"/>
      </w:divBdr>
      <w:divsChild>
        <w:div w:id="388964340">
          <w:marLeft w:val="0"/>
          <w:marRight w:val="0"/>
          <w:marTop w:val="0"/>
          <w:marBottom w:val="0"/>
          <w:divBdr>
            <w:top w:val="none" w:sz="0" w:space="0" w:color="auto"/>
            <w:left w:val="none" w:sz="0" w:space="0" w:color="auto"/>
            <w:bottom w:val="none" w:sz="0" w:space="0" w:color="auto"/>
            <w:right w:val="none" w:sz="0" w:space="0" w:color="auto"/>
          </w:divBdr>
          <w:divsChild>
            <w:div w:id="1664167072">
              <w:marLeft w:val="0"/>
              <w:marRight w:val="0"/>
              <w:marTop w:val="0"/>
              <w:marBottom w:val="0"/>
              <w:divBdr>
                <w:top w:val="none" w:sz="0" w:space="0" w:color="auto"/>
                <w:left w:val="none" w:sz="0" w:space="0" w:color="auto"/>
                <w:bottom w:val="none" w:sz="0" w:space="0" w:color="auto"/>
                <w:right w:val="none" w:sz="0" w:space="0" w:color="auto"/>
              </w:divBdr>
              <w:divsChild>
                <w:div w:id="1027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765702">
      <w:bodyDiv w:val="1"/>
      <w:marLeft w:val="238"/>
      <w:marRight w:val="238"/>
      <w:marTop w:val="48"/>
      <w:marBottom w:val="48"/>
      <w:divBdr>
        <w:top w:val="none" w:sz="0" w:space="0" w:color="auto"/>
        <w:left w:val="none" w:sz="0" w:space="0" w:color="auto"/>
        <w:bottom w:val="none" w:sz="0" w:space="0" w:color="auto"/>
        <w:right w:val="none" w:sz="0" w:space="0" w:color="auto"/>
      </w:divBdr>
      <w:divsChild>
        <w:div w:id="1373113595">
          <w:marLeft w:val="0"/>
          <w:marRight w:val="0"/>
          <w:marTop w:val="0"/>
          <w:marBottom w:val="0"/>
          <w:divBdr>
            <w:top w:val="none" w:sz="0" w:space="0" w:color="auto"/>
            <w:left w:val="none" w:sz="0" w:space="0" w:color="auto"/>
            <w:bottom w:val="none" w:sz="0" w:space="0" w:color="auto"/>
            <w:right w:val="none" w:sz="0" w:space="0" w:color="auto"/>
          </w:divBdr>
          <w:divsChild>
            <w:div w:id="33817679">
              <w:marLeft w:val="0"/>
              <w:marRight w:val="0"/>
              <w:marTop w:val="0"/>
              <w:marBottom w:val="0"/>
              <w:divBdr>
                <w:top w:val="none" w:sz="0" w:space="0" w:color="auto"/>
                <w:left w:val="none" w:sz="0" w:space="0" w:color="auto"/>
                <w:bottom w:val="none" w:sz="0" w:space="0" w:color="auto"/>
                <w:right w:val="none" w:sz="0" w:space="0" w:color="auto"/>
              </w:divBdr>
              <w:divsChild>
                <w:div w:id="14380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tlanticchambers.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avidgreen@atlanticchambers.co.uk" TargetMode="External"/><Relationship Id="rId4" Type="http://schemas.openxmlformats.org/officeDocument/2006/relationships/webSettings" Target="webSettings.xml"/><Relationship Id="rId9" Type="http://schemas.openxmlformats.org/officeDocument/2006/relationships/hyperlink" Target="http://www.atlanticchamber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4112</Words>
  <Characters>21139</Characters>
  <Application>Microsoft Office Word</Application>
  <DocSecurity>0</DocSecurity>
  <Lines>449</Lines>
  <Paragraphs>116</Paragraphs>
  <ScaleCrop>false</ScaleCrop>
  <HeadingPairs>
    <vt:vector size="2" baseType="variant">
      <vt:variant>
        <vt:lpstr>Title</vt:lpstr>
      </vt:variant>
      <vt:variant>
        <vt:i4>1</vt:i4>
      </vt:variant>
    </vt:vector>
  </HeadingPairs>
  <TitlesOfParts>
    <vt:vector size="1" baseType="lpstr">
      <vt:lpstr>Commercial Landlord and Tenant Update</vt:lpstr>
    </vt:vector>
  </TitlesOfParts>
  <Company>Microsoft</Company>
  <LinksUpToDate>false</LinksUpToDate>
  <CharactersWithSpaces>25135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Landlord and Tenant Update</dc:title>
  <dc:subject/>
  <dc:creator>David</dc:creator>
  <cp:keywords/>
  <cp:lastModifiedBy>John Tribe</cp:lastModifiedBy>
  <cp:revision>2</cp:revision>
  <cp:lastPrinted>2024-10-08T13:27:00Z</cp:lastPrinted>
  <dcterms:created xsi:type="dcterms:W3CDTF">2024-10-14T16:09:00Z</dcterms:created>
  <dcterms:modified xsi:type="dcterms:W3CDTF">2024-10-14T16:09:00Z</dcterms:modified>
</cp:coreProperties>
</file>